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4B66" w14:textId="5E806BB4" w:rsidR="001A55DD" w:rsidRDefault="00956EBC" w:rsidP="00D802FC">
      <w:pPr>
        <w:pStyle w:val="Header"/>
        <w:rPr>
          <w:b/>
          <w:sz w:val="32"/>
        </w:rPr>
      </w:pPr>
      <w:bookmarkStart w:id="0" w:name="Letter"/>
      <w:r>
        <w:rPr>
          <w:b/>
          <w:sz w:val="32"/>
        </w:rPr>
        <w:t>3</w:t>
      </w:r>
      <w:r w:rsidR="000F6BB4">
        <w:rPr>
          <w:b/>
          <w:sz w:val="32"/>
        </w:rPr>
        <w:t>-</w:t>
      </w:r>
      <w:r w:rsidR="00AB7551">
        <w:rPr>
          <w:b/>
          <w:sz w:val="32"/>
        </w:rPr>
        <w:t>y</w:t>
      </w:r>
      <w:r w:rsidR="000F6BB4">
        <w:rPr>
          <w:b/>
          <w:sz w:val="32"/>
        </w:rPr>
        <w:t>ear</w:t>
      </w:r>
      <w:r w:rsidR="005058A1">
        <w:rPr>
          <w:b/>
          <w:sz w:val="32"/>
        </w:rPr>
        <w:t xml:space="preserve"> long-term</w:t>
      </w:r>
      <w:r w:rsidR="000F6BB4">
        <w:rPr>
          <w:b/>
          <w:sz w:val="32"/>
        </w:rPr>
        <w:t xml:space="preserve"> </w:t>
      </w:r>
      <w:r w:rsidR="00AB7551">
        <w:rPr>
          <w:b/>
          <w:sz w:val="32"/>
        </w:rPr>
        <w:t>p</w:t>
      </w:r>
      <w:r w:rsidR="000F6BB4">
        <w:rPr>
          <w:b/>
          <w:sz w:val="32"/>
        </w:rPr>
        <w:t xml:space="preserve">upil </w:t>
      </w:r>
      <w:r w:rsidR="00AB7551">
        <w:rPr>
          <w:b/>
          <w:sz w:val="32"/>
        </w:rPr>
        <w:t>p</w:t>
      </w:r>
      <w:r w:rsidR="000F6BB4">
        <w:rPr>
          <w:b/>
          <w:sz w:val="32"/>
        </w:rPr>
        <w:t xml:space="preserve">remium </w:t>
      </w:r>
      <w:r w:rsidR="00AB7551">
        <w:rPr>
          <w:b/>
          <w:sz w:val="32"/>
        </w:rPr>
        <w:t>s</w:t>
      </w:r>
      <w:r w:rsidR="000F6BB4">
        <w:rPr>
          <w:b/>
          <w:sz w:val="32"/>
        </w:rPr>
        <w:t xml:space="preserve">trategy </w:t>
      </w:r>
      <w:r w:rsidR="00AB7551">
        <w:rPr>
          <w:b/>
          <w:sz w:val="32"/>
        </w:rPr>
        <w:t>t</w:t>
      </w:r>
      <w:r w:rsidR="000F6BB4">
        <w:rPr>
          <w:b/>
          <w:sz w:val="32"/>
        </w:rPr>
        <w:t>emplate</w:t>
      </w:r>
      <w:r w:rsidR="00D802FC">
        <w:rPr>
          <w:b/>
          <w:sz w:val="32"/>
        </w:rPr>
        <w:t xml:space="preserve"> </w:t>
      </w:r>
      <w:bookmarkEnd w:id="0"/>
    </w:p>
    <w:p w14:paraId="645E778F" w14:textId="72417DD9" w:rsidR="0043707A" w:rsidRDefault="00A66FBD" w:rsidP="0043707A">
      <w:r>
        <w:t>T</w:t>
      </w:r>
      <w:r w:rsidR="0043707A">
        <w:t xml:space="preserve">his template is based on the long-term approach to pupil premium planning recommended by the </w:t>
      </w:r>
      <w:proofErr w:type="spellStart"/>
      <w:r w:rsidR="0043707A">
        <w:t>DfE</w:t>
      </w:r>
      <w:proofErr w:type="spellEnd"/>
      <w:r w:rsidR="0043707A">
        <w:t xml:space="preserve"> and the Education Endowment Foundation (EEF). It can be used instead of, or alongside, a </w:t>
      </w:r>
      <w:r w:rsidR="00AB7551">
        <w:t>one</w:t>
      </w:r>
      <w:r w:rsidR="0043707A">
        <w:t>-</w:t>
      </w:r>
      <w:r w:rsidR="00F80145">
        <w:t>y</w:t>
      </w:r>
      <w:r w:rsidR="0043707A">
        <w:t xml:space="preserve">ear strategy. </w:t>
      </w:r>
    </w:p>
    <w:p w14:paraId="5DA70C05" w14:textId="54234BAE" w:rsidR="005002BE" w:rsidRDefault="005002BE" w:rsidP="005002BE">
      <w:pPr>
        <w:pStyle w:val="Heading10"/>
      </w:pPr>
      <w:r>
        <w:t>Our philosophy</w:t>
      </w:r>
    </w:p>
    <w:p w14:paraId="691B344A" w14:textId="5585F287" w:rsidR="005002BE" w:rsidRDefault="00A66FBD" w:rsidP="005002BE">
      <w:r>
        <w:t>We believe in maximising the use of the pupil premium grant (PPG) by utilising a long-term strategy</w:t>
      </w:r>
      <w:r w:rsidR="00E62981">
        <w:t xml:space="preserve"> aligned to the </w:t>
      </w:r>
      <w:r w:rsidR="00AB7551">
        <w:t>SDP</w:t>
      </w:r>
      <w:r w:rsidR="00F80145">
        <w:t>.</w:t>
      </w:r>
      <w:r>
        <w:t xml:space="preserve"> </w:t>
      </w:r>
      <w:r w:rsidR="00F80145">
        <w:t>This</w:t>
      </w:r>
      <w:r>
        <w:t xml:space="preserve"> enables us to implement a blend of short, medium and long-term interventions, and align pupil premium use with wider school improvements</w:t>
      </w:r>
      <w:r w:rsidR="00301444">
        <w:t xml:space="preserve"> and improving readiness to learn</w:t>
      </w:r>
      <w:r>
        <w:t>.</w:t>
      </w:r>
    </w:p>
    <w:p w14:paraId="4C2578DB" w14:textId="3DE4BED4" w:rsidR="00A66FBD" w:rsidRDefault="00A66FBD" w:rsidP="005002BE">
      <w:r>
        <w:t>Overcoming barriers to learning is at the heart of our PPG use. We understand that needs and costs will differ depending on the barriers to learning being address</w:t>
      </w:r>
      <w:r w:rsidR="00301444">
        <w:t>ed</w:t>
      </w:r>
      <w:r>
        <w:t xml:space="preserve">. As such, we do not </w:t>
      </w:r>
      <w:r w:rsidR="007142AB">
        <w:t xml:space="preserve">automatically </w:t>
      </w:r>
      <w:r>
        <w:t>allocate personal budgets per pupil in receipt of</w:t>
      </w:r>
      <w:r w:rsidR="002843B0">
        <w:t xml:space="preserve"> the</w:t>
      </w:r>
      <w:r>
        <w:t xml:space="preserve"> PPG</w:t>
      </w:r>
      <w:r w:rsidR="00F80145">
        <w:t>.</w:t>
      </w:r>
      <w:r w:rsidR="007142AB">
        <w:t xml:space="preserve"> </w:t>
      </w:r>
      <w:r w:rsidR="00F80145">
        <w:t>I</w:t>
      </w:r>
      <w:r w:rsidR="007142AB">
        <w:t>nstead</w:t>
      </w:r>
      <w:r w:rsidR="00F80145">
        <w:t>,</w:t>
      </w:r>
      <w:r w:rsidR="007142AB">
        <w:t xml:space="preserve"> we identify the barrier to be addressed and the interventions required, whether in small groups, large groups, the whole school or as individuals, and allocat</w:t>
      </w:r>
      <w:r w:rsidR="00F80145">
        <w:t>e</w:t>
      </w:r>
      <w:r w:rsidR="007142AB">
        <w:t xml:space="preserve"> </w:t>
      </w:r>
      <w:r w:rsidR="00BE3E5A">
        <w:t xml:space="preserve">a </w:t>
      </w:r>
      <w:r w:rsidR="007142AB">
        <w:t>budget accordingly.</w:t>
      </w:r>
    </w:p>
    <w:p w14:paraId="6CA43C0D" w14:textId="08C19674" w:rsidR="005002BE" w:rsidRDefault="005002BE" w:rsidP="005002BE">
      <w:pPr>
        <w:pStyle w:val="Heading10"/>
      </w:pPr>
      <w:r>
        <w:t>Our priorities</w:t>
      </w:r>
    </w:p>
    <w:p w14:paraId="71B8DC66" w14:textId="62EC4CEA" w:rsidR="00283528" w:rsidRDefault="00283528" w:rsidP="00283528">
      <w:pPr>
        <w:rPr>
          <w:color w:val="000000" w:themeColor="text1"/>
        </w:rPr>
      </w:pPr>
      <w:r>
        <w:rPr>
          <w:color w:val="000000" w:themeColor="text1"/>
        </w:rPr>
        <w:t>Setting priorities is key to maximising the use of the PPG. Our priorities are as follows:</w:t>
      </w:r>
    </w:p>
    <w:p w14:paraId="6732656D" w14:textId="77777777" w:rsidR="00283528" w:rsidRPr="00283528" w:rsidRDefault="00283528" w:rsidP="00283528">
      <w:pPr>
        <w:pStyle w:val="PolicyBullets"/>
      </w:pPr>
      <w:r w:rsidRPr="00283528">
        <w:t>Closing the attainment gap between disadvantaged pupils and their peers</w:t>
      </w:r>
    </w:p>
    <w:p w14:paraId="6308E47C" w14:textId="744DE31B" w:rsidR="00283528" w:rsidRPr="00283528" w:rsidRDefault="00283528" w:rsidP="00283528">
      <w:pPr>
        <w:pStyle w:val="PolicyBullets"/>
      </w:pPr>
      <w:r w:rsidRPr="00283528">
        <w:t>Providing targeted academic support for pupils who are not making the expected progress</w:t>
      </w:r>
    </w:p>
    <w:p w14:paraId="4206D8A0" w14:textId="24719EB1" w:rsidR="00283528" w:rsidRDefault="00283528" w:rsidP="00283528">
      <w:pPr>
        <w:pStyle w:val="PolicyBullets"/>
      </w:pPr>
      <w:r w:rsidRPr="00283528">
        <w:t>Addressing non-academic barriers to attainment such as attendance and behaviour</w:t>
      </w:r>
    </w:p>
    <w:p w14:paraId="2CE20696" w14:textId="3BEF7852" w:rsidR="004B14AD" w:rsidRPr="004B14AD" w:rsidRDefault="00F80145" w:rsidP="004B14AD">
      <w:pPr>
        <w:pStyle w:val="PolicyBullets"/>
      </w:pPr>
      <w:r>
        <w:t>E</w:t>
      </w:r>
      <w:r w:rsidR="004B14AD" w:rsidRPr="004B14AD">
        <w:t>nsur</w:t>
      </w:r>
      <w:r>
        <w:t>ing</w:t>
      </w:r>
      <w:r w:rsidR="004B14AD" w:rsidRPr="004B14AD">
        <w:t xml:space="preserve"> that the PPG reaches the pupils who need it most</w:t>
      </w:r>
    </w:p>
    <w:p w14:paraId="198D13AD" w14:textId="2806DA12" w:rsidR="005002BE" w:rsidRPr="005002BE" w:rsidRDefault="005002BE" w:rsidP="005002BE">
      <w:pPr>
        <w:pStyle w:val="Heading10"/>
      </w:pPr>
      <w:r>
        <w:t>Barriers to future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4AD" w14:paraId="4A355045" w14:textId="77777777" w:rsidTr="004B14AD">
        <w:tc>
          <w:tcPr>
            <w:tcW w:w="4508" w:type="dxa"/>
            <w:shd w:val="clear" w:color="auto" w:fill="347186"/>
          </w:tcPr>
          <w:p w14:paraId="06D7A30D" w14:textId="05F78737" w:rsidR="004B14AD" w:rsidRPr="005B3034" w:rsidRDefault="004B14AD" w:rsidP="004B14A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B3034">
              <w:rPr>
                <w:b/>
                <w:bCs/>
                <w:color w:val="FFFFFF" w:themeColor="background1"/>
                <w:sz w:val="22"/>
                <w:szCs w:val="22"/>
              </w:rPr>
              <w:t>Academic barriers to attainment</w:t>
            </w:r>
          </w:p>
        </w:tc>
        <w:tc>
          <w:tcPr>
            <w:tcW w:w="4508" w:type="dxa"/>
            <w:shd w:val="clear" w:color="auto" w:fill="347186"/>
          </w:tcPr>
          <w:p w14:paraId="1996D34F" w14:textId="38072A88" w:rsidR="004B14AD" w:rsidRPr="005B3034" w:rsidRDefault="004B14AD" w:rsidP="004B14A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B3034">
              <w:rPr>
                <w:b/>
                <w:bCs/>
                <w:color w:val="FFFFFF" w:themeColor="background1"/>
                <w:sz w:val="22"/>
                <w:szCs w:val="22"/>
              </w:rPr>
              <w:t>Non-academic barriers to attainment</w:t>
            </w:r>
          </w:p>
        </w:tc>
      </w:tr>
      <w:tr w:rsidR="004B14AD" w14:paraId="546F5DA0" w14:textId="77777777" w:rsidTr="005B3034">
        <w:tc>
          <w:tcPr>
            <w:tcW w:w="4508" w:type="dxa"/>
            <w:vAlign w:val="center"/>
          </w:tcPr>
          <w:p w14:paraId="7A554759" w14:textId="4E4C6F82" w:rsidR="004B14AD" w:rsidRPr="005B3034" w:rsidRDefault="006D43BE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Special Educational needs and Disabilities</w:t>
            </w:r>
          </w:p>
        </w:tc>
        <w:tc>
          <w:tcPr>
            <w:tcW w:w="4508" w:type="dxa"/>
            <w:vAlign w:val="center"/>
          </w:tcPr>
          <w:p w14:paraId="349F0AD5" w14:textId="271FCA9B" w:rsidR="004B14AD" w:rsidRPr="005B3034" w:rsidRDefault="00202913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B3034">
              <w:rPr>
                <w:color w:val="000000" w:themeColor="text1"/>
                <w:sz w:val="22"/>
                <w:szCs w:val="22"/>
              </w:rPr>
              <w:t>Poor attendance</w:t>
            </w:r>
          </w:p>
        </w:tc>
      </w:tr>
      <w:tr w:rsidR="004B14AD" w14:paraId="11FDE5BE" w14:textId="77777777" w:rsidTr="005B3034">
        <w:tc>
          <w:tcPr>
            <w:tcW w:w="4508" w:type="dxa"/>
            <w:vAlign w:val="center"/>
          </w:tcPr>
          <w:p w14:paraId="4F67B192" w14:textId="69CDD7C9" w:rsidR="004B14AD" w:rsidRPr="005B3034" w:rsidRDefault="006D43BE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Low levels of numeracy</w:t>
            </w:r>
          </w:p>
        </w:tc>
        <w:tc>
          <w:tcPr>
            <w:tcW w:w="4508" w:type="dxa"/>
            <w:vAlign w:val="center"/>
          </w:tcPr>
          <w:p w14:paraId="5813FDD6" w14:textId="05AFC9AA" w:rsidR="004B14AD" w:rsidRPr="005B3034" w:rsidRDefault="006D43BE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Social, Emotional and Mental Health</w:t>
            </w:r>
          </w:p>
        </w:tc>
      </w:tr>
      <w:tr w:rsidR="004B14AD" w14:paraId="244988F2" w14:textId="77777777" w:rsidTr="005B3034">
        <w:tc>
          <w:tcPr>
            <w:tcW w:w="4508" w:type="dxa"/>
            <w:vAlign w:val="center"/>
          </w:tcPr>
          <w:p w14:paraId="54636C2F" w14:textId="6F43EE27" w:rsidR="004B14AD" w:rsidRPr="005B3034" w:rsidRDefault="00A13D8C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B3034">
              <w:rPr>
                <w:color w:val="000000" w:themeColor="text1"/>
                <w:sz w:val="22"/>
                <w:szCs w:val="22"/>
              </w:rPr>
              <w:t>‘</w:t>
            </w:r>
            <w:r w:rsidR="006D43BE" w:rsidRPr="005B3034">
              <w:rPr>
                <w:color w:val="000000" w:themeColor="text1"/>
                <w:sz w:val="22"/>
                <w:szCs w:val="22"/>
              </w:rPr>
              <w:t>Low levels of literacy</w:t>
            </w:r>
          </w:p>
        </w:tc>
        <w:tc>
          <w:tcPr>
            <w:tcW w:w="4508" w:type="dxa"/>
            <w:vAlign w:val="center"/>
          </w:tcPr>
          <w:p w14:paraId="053A2FD4" w14:textId="567F4B51" w:rsidR="004B14AD" w:rsidRPr="005B3034" w:rsidRDefault="006D43BE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Parental</w:t>
            </w:r>
            <w:r w:rsidR="00202913" w:rsidRPr="005B3034">
              <w:rPr>
                <w:color w:val="000000" w:themeColor="text1"/>
                <w:sz w:val="22"/>
                <w:szCs w:val="22"/>
              </w:rPr>
              <w:t xml:space="preserve"> engagement</w:t>
            </w:r>
          </w:p>
        </w:tc>
      </w:tr>
      <w:tr w:rsidR="004B14AD" w14:paraId="714EBE2A" w14:textId="77777777" w:rsidTr="005B3034">
        <w:tc>
          <w:tcPr>
            <w:tcW w:w="4508" w:type="dxa"/>
            <w:vAlign w:val="center"/>
          </w:tcPr>
          <w:p w14:paraId="341776D8" w14:textId="7B3D0787" w:rsidR="004B14AD" w:rsidRPr="005B3034" w:rsidRDefault="006D43BE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Poor language</w:t>
            </w:r>
          </w:p>
        </w:tc>
        <w:tc>
          <w:tcPr>
            <w:tcW w:w="4508" w:type="dxa"/>
            <w:vAlign w:val="center"/>
          </w:tcPr>
          <w:p w14:paraId="03370886" w14:textId="3118207D" w:rsidR="004B14AD" w:rsidRPr="005B3034" w:rsidRDefault="005B3034" w:rsidP="005B303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B3034">
              <w:rPr>
                <w:color w:val="000000" w:themeColor="text1"/>
                <w:sz w:val="22"/>
                <w:szCs w:val="22"/>
              </w:rPr>
              <w:t xml:space="preserve">Arriving at school hungry </w:t>
            </w:r>
            <w:r w:rsidR="00F80145">
              <w:rPr>
                <w:color w:val="000000" w:themeColor="text1"/>
                <w:sz w:val="22"/>
                <w:szCs w:val="22"/>
              </w:rPr>
              <w:t>and</w:t>
            </w:r>
            <w:r w:rsidRPr="005B30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0145">
              <w:rPr>
                <w:color w:val="000000" w:themeColor="text1"/>
                <w:sz w:val="22"/>
                <w:szCs w:val="22"/>
              </w:rPr>
              <w:t xml:space="preserve">not </w:t>
            </w:r>
            <w:r w:rsidRPr="005B3034">
              <w:rPr>
                <w:color w:val="000000" w:themeColor="text1"/>
                <w:sz w:val="22"/>
                <w:szCs w:val="22"/>
              </w:rPr>
              <w:t>ready to learn</w:t>
            </w:r>
          </w:p>
        </w:tc>
      </w:tr>
      <w:tr w:rsidR="004B14AD" w14:paraId="037EFAAD" w14:textId="77777777" w:rsidTr="005B3034">
        <w:tc>
          <w:tcPr>
            <w:tcW w:w="4508" w:type="dxa"/>
            <w:vAlign w:val="center"/>
          </w:tcPr>
          <w:p w14:paraId="74E24805" w14:textId="28552061" w:rsidR="004B14AD" w:rsidRPr="00202913" w:rsidRDefault="00202913" w:rsidP="005B3034">
            <w:pPr>
              <w:jc w:val="left"/>
              <w:rPr>
                <w:color w:val="000000" w:themeColor="text1"/>
                <w:sz w:val="22"/>
                <w:szCs w:val="28"/>
              </w:rPr>
            </w:pPr>
            <w:r w:rsidRPr="00202913">
              <w:rPr>
                <w:color w:val="000000" w:themeColor="text1"/>
                <w:sz w:val="22"/>
                <w:szCs w:val="28"/>
              </w:rPr>
              <w:t>Lack of school readiness</w:t>
            </w:r>
          </w:p>
        </w:tc>
        <w:tc>
          <w:tcPr>
            <w:tcW w:w="4508" w:type="dxa"/>
            <w:vAlign w:val="center"/>
          </w:tcPr>
          <w:p w14:paraId="27F1D4D7" w14:textId="3D2C9E52" w:rsidR="004B14AD" w:rsidRDefault="009820DE" w:rsidP="005B3034">
            <w:pPr>
              <w:jc w:val="left"/>
              <w:rPr>
                <w:color w:val="000000" w:themeColor="text1"/>
              </w:rPr>
            </w:pPr>
            <w:r w:rsidRPr="009820DE">
              <w:rPr>
                <w:color w:val="000000" w:themeColor="text1"/>
                <w:sz w:val="22"/>
                <w:szCs w:val="28"/>
              </w:rPr>
              <w:t>Lack of focus and confidence due to poor mental health and wellbeing</w:t>
            </w:r>
          </w:p>
        </w:tc>
      </w:tr>
    </w:tbl>
    <w:p w14:paraId="676E17B1" w14:textId="31B77201" w:rsidR="005002BE" w:rsidRDefault="005002BE" w:rsidP="005B3034">
      <w:pPr>
        <w:pStyle w:val="Heading10"/>
        <w:spacing w:before="240"/>
      </w:pPr>
      <w:r>
        <w:t xml:space="preserve">Our </w:t>
      </w:r>
      <w:r w:rsidR="008A6693">
        <w:t xml:space="preserve">implementation </w:t>
      </w:r>
      <w:r>
        <w:t>process</w:t>
      </w:r>
    </w:p>
    <w:p w14:paraId="20904969" w14:textId="18C4A7AC" w:rsidR="00BE73D1" w:rsidRDefault="006D43BE" w:rsidP="006D43BE">
      <w:pPr>
        <w:pStyle w:val="PolicyBullets"/>
        <w:numPr>
          <w:ilvl w:val="0"/>
          <w:numId w:val="0"/>
        </w:numPr>
        <w:ind w:left="360"/>
      </w:pPr>
      <w:r>
        <w:t>This three year strategy forms part of the federation development plan which is reviewed throughout the year by senior leaders and governors.</w:t>
      </w:r>
    </w:p>
    <w:p w14:paraId="1D7C7885" w14:textId="0539953A" w:rsidR="005002BE" w:rsidRDefault="005002BE" w:rsidP="005002BE">
      <w:pPr>
        <w:pStyle w:val="Heading10"/>
      </w:pPr>
      <w:r>
        <w:lastRenderedPageBreak/>
        <w:t>Our tiered approach</w:t>
      </w:r>
    </w:p>
    <w:p w14:paraId="12D5BCB1" w14:textId="77777777" w:rsidR="009114AF" w:rsidRPr="009114AF" w:rsidRDefault="009114AF" w:rsidP="00D802FC">
      <w:pPr>
        <w:pStyle w:val="Header"/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>To prioritise spending, w</w:t>
      </w:r>
      <w:r w:rsidRPr="009114AF">
        <w:rPr>
          <w:bCs/>
          <w:color w:val="000000" w:themeColor="text1"/>
          <w:szCs w:val="18"/>
        </w:rPr>
        <w:t xml:space="preserve">e have adopted a tiered approach to define our </w:t>
      </w:r>
      <w:r>
        <w:rPr>
          <w:bCs/>
          <w:color w:val="000000" w:themeColor="text1"/>
          <w:szCs w:val="18"/>
        </w:rPr>
        <w:t xml:space="preserve">priorities and ensure </w:t>
      </w:r>
      <w:r w:rsidRPr="009114AF">
        <w:rPr>
          <w:bCs/>
          <w:color w:val="000000" w:themeColor="text1"/>
          <w:szCs w:val="18"/>
        </w:rPr>
        <w:t>balance. Our tiered approach comprises three categories:</w:t>
      </w:r>
    </w:p>
    <w:p w14:paraId="09DA6FC8" w14:textId="3E4D8AC9" w:rsidR="009114AF" w:rsidRPr="009114AF" w:rsidRDefault="009114AF" w:rsidP="009114AF">
      <w:pPr>
        <w:pStyle w:val="Header"/>
        <w:numPr>
          <w:ilvl w:val="0"/>
          <w:numId w:val="11"/>
        </w:numPr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>Teaching</w:t>
      </w:r>
    </w:p>
    <w:p w14:paraId="3FD214B7" w14:textId="22319751" w:rsidR="009114AF" w:rsidRPr="009114AF" w:rsidRDefault="009114AF" w:rsidP="009114AF">
      <w:pPr>
        <w:pStyle w:val="Header"/>
        <w:numPr>
          <w:ilvl w:val="0"/>
          <w:numId w:val="11"/>
        </w:numPr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>Targeted academic support</w:t>
      </w:r>
    </w:p>
    <w:p w14:paraId="6386BA97" w14:textId="2C574411" w:rsidR="009114AF" w:rsidRPr="009114AF" w:rsidRDefault="009114AF" w:rsidP="009114AF">
      <w:pPr>
        <w:pStyle w:val="Header"/>
        <w:numPr>
          <w:ilvl w:val="0"/>
          <w:numId w:val="11"/>
        </w:numPr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>Wider strategies</w:t>
      </w:r>
    </w:p>
    <w:p w14:paraId="2ADB13A6" w14:textId="54D25B19" w:rsidR="009114AF" w:rsidRPr="009114AF" w:rsidRDefault="009114AF" w:rsidP="009114AF">
      <w:pPr>
        <w:pStyle w:val="Header"/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>Within each category, we have chosen three interventions. This focussed approach ensures the best chance of success for each intervention.</w:t>
      </w:r>
      <w:r w:rsidR="00A40C55">
        <w:rPr>
          <w:bCs/>
          <w:color w:val="000000" w:themeColor="text1"/>
          <w:szCs w:val="18"/>
        </w:rPr>
        <w:t xml:space="preserve"> </w:t>
      </w:r>
    </w:p>
    <w:p w14:paraId="0D1E76F0" w14:textId="55AE3834" w:rsidR="005002BE" w:rsidRPr="009114AF" w:rsidRDefault="00524BC9" w:rsidP="000E4578">
      <w:pPr>
        <w:pStyle w:val="Header"/>
        <w:spacing w:before="240"/>
        <w:rPr>
          <w:b/>
          <w:szCs w:val="18"/>
        </w:rPr>
      </w:pPr>
      <w:bookmarkStart w:id="1" w:name="_Hlk13659867"/>
      <w:r>
        <w:rPr>
          <w:b/>
          <w:szCs w:val="18"/>
        </w:rPr>
        <w:t>Quality of teaching</w:t>
      </w:r>
    </w:p>
    <w:p w14:paraId="0B02A5B9" w14:textId="43EED778" w:rsidR="00A40C55" w:rsidRDefault="006D43BE" w:rsidP="00A40C55">
      <w:pPr>
        <w:pStyle w:val="Header"/>
        <w:numPr>
          <w:ilvl w:val="0"/>
          <w:numId w:val="13"/>
        </w:numPr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 xml:space="preserve">Continuous Professional Development across the federation </w:t>
      </w:r>
    </w:p>
    <w:p w14:paraId="57927C7E" w14:textId="5D09395A" w:rsidR="00A40C55" w:rsidRDefault="00CC1ABA" w:rsidP="00A40C55">
      <w:pPr>
        <w:pStyle w:val="Header"/>
        <w:numPr>
          <w:ilvl w:val="0"/>
          <w:numId w:val="13"/>
        </w:numPr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>Professional development through KYRA teaching school and other external agencies as required.</w:t>
      </w:r>
    </w:p>
    <w:p w14:paraId="283592F4" w14:textId="1C04D1B0" w:rsidR="005002BE" w:rsidRPr="00A40C55" w:rsidRDefault="005002BE" w:rsidP="000E4578">
      <w:pPr>
        <w:pStyle w:val="Header"/>
        <w:spacing w:before="240"/>
        <w:rPr>
          <w:b/>
          <w:szCs w:val="18"/>
        </w:rPr>
      </w:pPr>
      <w:r w:rsidRPr="00A40C55">
        <w:rPr>
          <w:b/>
          <w:szCs w:val="18"/>
        </w:rPr>
        <w:t>Targeted academic support</w:t>
      </w:r>
    </w:p>
    <w:p w14:paraId="7713C044" w14:textId="2DF7C2AC" w:rsidR="00A40C55" w:rsidRPr="00991031" w:rsidRDefault="00A40C55" w:rsidP="00A40C55">
      <w:pPr>
        <w:pStyle w:val="Header"/>
        <w:numPr>
          <w:ilvl w:val="0"/>
          <w:numId w:val="14"/>
        </w:numPr>
        <w:rPr>
          <w:bCs/>
          <w:szCs w:val="18"/>
        </w:rPr>
      </w:pPr>
      <w:r w:rsidRPr="00991031">
        <w:rPr>
          <w:bCs/>
          <w:color w:val="000000" w:themeColor="text1"/>
          <w:szCs w:val="18"/>
        </w:rPr>
        <w:t>Structured interventions</w:t>
      </w:r>
      <w:r w:rsidR="00A13BE2">
        <w:rPr>
          <w:bCs/>
          <w:color w:val="000000" w:themeColor="text1"/>
          <w:szCs w:val="18"/>
        </w:rPr>
        <w:t xml:space="preserve">: </w:t>
      </w:r>
      <w:r w:rsidR="00A66D6C">
        <w:rPr>
          <w:bCs/>
          <w:color w:val="000000" w:themeColor="text1"/>
          <w:szCs w:val="18"/>
        </w:rPr>
        <w:t>for maths and English skills with Social, Emotional and mental health where required.</w:t>
      </w:r>
    </w:p>
    <w:p w14:paraId="696D9853" w14:textId="6967F391" w:rsidR="00A40C55" w:rsidRPr="00991031" w:rsidRDefault="00A40C55" w:rsidP="00A40C55">
      <w:pPr>
        <w:pStyle w:val="Header"/>
        <w:numPr>
          <w:ilvl w:val="0"/>
          <w:numId w:val="14"/>
        </w:numPr>
        <w:rPr>
          <w:bCs/>
          <w:szCs w:val="18"/>
        </w:rPr>
      </w:pPr>
      <w:r w:rsidRPr="00991031">
        <w:rPr>
          <w:bCs/>
          <w:color w:val="000000" w:themeColor="text1"/>
          <w:szCs w:val="18"/>
        </w:rPr>
        <w:t>Small group tuition</w:t>
      </w:r>
      <w:r w:rsidR="00A13BE2">
        <w:rPr>
          <w:bCs/>
          <w:color w:val="000000" w:themeColor="text1"/>
          <w:szCs w:val="18"/>
        </w:rPr>
        <w:t>: Introducing t</w:t>
      </w:r>
      <w:r w:rsidR="00A13BE2" w:rsidRPr="00A13BE2">
        <w:rPr>
          <w:bCs/>
          <w:color w:val="000000" w:themeColor="text1"/>
          <w:szCs w:val="18"/>
        </w:rPr>
        <w:t>arget</w:t>
      </w:r>
      <w:r w:rsidR="00A13BE2">
        <w:rPr>
          <w:bCs/>
          <w:color w:val="000000" w:themeColor="text1"/>
          <w:szCs w:val="18"/>
        </w:rPr>
        <w:t>ed</w:t>
      </w:r>
      <w:r w:rsidR="00A13BE2" w:rsidRPr="00A13BE2">
        <w:rPr>
          <w:bCs/>
          <w:color w:val="000000" w:themeColor="text1"/>
          <w:szCs w:val="18"/>
        </w:rPr>
        <w:t xml:space="preserve"> English and maths teaching for pupils who are below age-related expectations</w:t>
      </w:r>
    </w:p>
    <w:p w14:paraId="4EF6B435" w14:textId="6C98D897" w:rsidR="00A40C55" w:rsidRPr="00991031" w:rsidRDefault="00A40C55" w:rsidP="00A40C55">
      <w:pPr>
        <w:pStyle w:val="Header"/>
        <w:numPr>
          <w:ilvl w:val="0"/>
          <w:numId w:val="14"/>
        </w:numPr>
        <w:rPr>
          <w:bCs/>
          <w:szCs w:val="18"/>
        </w:rPr>
      </w:pPr>
      <w:r w:rsidRPr="00991031">
        <w:rPr>
          <w:bCs/>
          <w:color w:val="000000" w:themeColor="text1"/>
          <w:szCs w:val="18"/>
        </w:rPr>
        <w:t>One-to-one support</w:t>
      </w:r>
      <w:r w:rsidR="00234D99">
        <w:rPr>
          <w:bCs/>
          <w:color w:val="000000" w:themeColor="text1"/>
          <w:szCs w:val="18"/>
        </w:rPr>
        <w:t xml:space="preserve"> for disadvantaged pupils</w:t>
      </w:r>
      <w:r w:rsidR="00A13BE2">
        <w:rPr>
          <w:bCs/>
          <w:color w:val="000000" w:themeColor="text1"/>
          <w:szCs w:val="18"/>
        </w:rPr>
        <w:t xml:space="preserve">: </w:t>
      </w:r>
      <w:r w:rsidR="00A13BE2" w:rsidRPr="00A13BE2">
        <w:rPr>
          <w:bCs/>
          <w:color w:val="000000" w:themeColor="text1"/>
          <w:szCs w:val="18"/>
        </w:rPr>
        <w:t>Creating additional teaching and</w:t>
      </w:r>
      <w:r w:rsidR="00A66D6C">
        <w:rPr>
          <w:bCs/>
          <w:color w:val="000000" w:themeColor="text1"/>
          <w:szCs w:val="18"/>
        </w:rPr>
        <w:t xml:space="preserve"> learning opportunities using </w:t>
      </w:r>
      <w:proofErr w:type="spellStart"/>
      <w:r w:rsidR="00A66D6C">
        <w:rPr>
          <w:bCs/>
          <w:color w:val="000000" w:themeColor="text1"/>
          <w:szCs w:val="18"/>
        </w:rPr>
        <w:t>SENDCo</w:t>
      </w:r>
      <w:proofErr w:type="spellEnd"/>
      <w:r w:rsidR="00A66D6C">
        <w:rPr>
          <w:bCs/>
          <w:color w:val="000000" w:themeColor="text1"/>
          <w:szCs w:val="18"/>
        </w:rPr>
        <w:t>.</w:t>
      </w:r>
    </w:p>
    <w:p w14:paraId="191FEBB5" w14:textId="7230527B" w:rsidR="00A40C55" w:rsidRPr="0094574F" w:rsidRDefault="0094574F" w:rsidP="0094574F">
      <w:pPr>
        <w:pStyle w:val="Header"/>
        <w:spacing w:before="240"/>
        <w:rPr>
          <w:b/>
          <w:szCs w:val="18"/>
        </w:rPr>
      </w:pPr>
      <w:r>
        <w:rPr>
          <w:b/>
          <w:szCs w:val="18"/>
        </w:rPr>
        <w:t>Wider strategies</w:t>
      </w:r>
      <w:r w:rsidR="007D638F">
        <w:rPr>
          <w:bCs/>
          <w:color w:val="000000" w:themeColor="text1"/>
          <w:szCs w:val="18"/>
        </w:rPr>
        <w:t xml:space="preserve"> </w:t>
      </w:r>
    </w:p>
    <w:p w14:paraId="1BEBC2ED" w14:textId="22EFD772" w:rsidR="00A40C55" w:rsidRPr="00991031" w:rsidRDefault="007D638F" w:rsidP="00A40C55">
      <w:pPr>
        <w:pStyle w:val="Header"/>
        <w:numPr>
          <w:ilvl w:val="0"/>
          <w:numId w:val="15"/>
        </w:numPr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>Readiness to learn</w:t>
      </w:r>
      <w:r w:rsidR="00A13BE2">
        <w:rPr>
          <w:bCs/>
          <w:color w:val="000000" w:themeColor="text1"/>
          <w:szCs w:val="18"/>
        </w:rPr>
        <w:t>:</w:t>
      </w:r>
      <w:r>
        <w:rPr>
          <w:bCs/>
          <w:color w:val="000000" w:themeColor="text1"/>
          <w:szCs w:val="18"/>
        </w:rPr>
        <w:t xml:space="preserve"> </w:t>
      </w:r>
      <w:r w:rsidR="00EC58C3">
        <w:rPr>
          <w:bCs/>
          <w:color w:val="000000" w:themeColor="text1"/>
          <w:szCs w:val="18"/>
        </w:rPr>
        <w:t>Fruit is provided for all children for snacks when required by the children.</w:t>
      </w:r>
    </w:p>
    <w:p w14:paraId="659FB80D" w14:textId="3EA76B3B" w:rsidR="005002BE" w:rsidRPr="00CF43D5" w:rsidRDefault="007D638F" w:rsidP="00D802FC">
      <w:pPr>
        <w:pStyle w:val="Header"/>
        <w:numPr>
          <w:ilvl w:val="0"/>
          <w:numId w:val="15"/>
        </w:numPr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>A</w:t>
      </w:r>
      <w:r w:rsidR="00A40C55" w:rsidRPr="00991031">
        <w:rPr>
          <w:bCs/>
          <w:color w:val="000000" w:themeColor="text1"/>
          <w:szCs w:val="18"/>
        </w:rPr>
        <w:t>ttendance</w:t>
      </w:r>
      <w:r w:rsidR="00A13BE2">
        <w:rPr>
          <w:bCs/>
          <w:color w:val="000000" w:themeColor="text1"/>
          <w:szCs w:val="18"/>
        </w:rPr>
        <w:t xml:space="preserve">: </w:t>
      </w:r>
      <w:r w:rsidRPr="007D638F">
        <w:rPr>
          <w:bCs/>
          <w:color w:val="000000" w:themeColor="text1"/>
          <w:szCs w:val="18"/>
        </w:rPr>
        <w:t xml:space="preserve">Use of an Education Welfare Officer (EWO) </w:t>
      </w:r>
      <w:r w:rsidR="00A66D6C">
        <w:rPr>
          <w:bCs/>
          <w:color w:val="000000" w:themeColor="text1"/>
          <w:szCs w:val="18"/>
        </w:rPr>
        <w:t>as required.</w:t>
      </w:r>
      <w:r w:rsidR="00EC58C3">
        <w:rPr>
          <w:bCs/>
          <w:color w:val="000000" w:themeColor="text1"/>
          <w:szCs w:val="18"/>
        </w:rPr>
        <w:t xml:space="preserve"> Purchasing ‘Attendance Hero’ to increase attendance. Resources and incentive to encourage improved attendance.</w:t>
      </w:r>
    </w:p>
    <w:bookmarkEnd w:id="1"/>
    <w:p w14:paraId="646F6ABC" w14:textId="6628ED67" w:rsidR="00D802FC" w:rsidRPr="002E2D2C" w:rsidRDefault="002E2D2C" w:rsidP="002E2D2C">
      <w:r>
        <w:t>.</w:t>
      </w:r>
    </w:p>
    <w:p w14:paraId="2F775C84" w14:textId="5B045016" w:rsidR="00742198" w:rsidRPr="007D49D0" w:rsidRDefault="00252E7E" w:rsidP="007D49D0">
      <w:pPr>
        <w:pStyle w:val="TSB-PolicyBullets"/>
      </w:pPr>
      <w:r w:rsidRPr="007D49D0">
        <w:t>Our review process</w:t>
      </w:r>
    </w:p>
    <w:p w14:paraId="64FEB82A" w14:textId="20B035E1" w:rsidR="00234D99" w:rsidRDefault="00252E7E" w:rsidP="00252E7E">
      <w:r>
        <w:t xml:space="preserve">Annually reviewing a </w:t>
      </w:r>
      <w:r w:rsidR="00AB7551">
        <w:t>one</w:t>
      </w:r>
      <w:r>
        <w:t xml:space="preserve">-year pupil premium plan and creating a new plan each year is time-costly and ineffective. This </w:t>
      </w:r>
      <w:r w:rsidR="00AB7551">
        <w:t>three</w:t>
      </w:r>
      <w:r>
        <w:t xml:space="preserve">-year approach allows us to dedicate more time up-front and introduce light-touch reviews annually. </w:t>
      </w:r>
    </w:p>
    <w:p w14:paraId="547822F6" w14:textId="35A680CD" w:rsidR="002E2D2C" w:rsidRDefault="00252E7E" w:rsidP="00252E7E">
      <w:r>
        <w:t xml:space="preserve">During a light-touch review, we will review the success of each intervention, based on evidence, and determine the most effective approach moving forwards – adapting, expanding or ceasing the intervention as required. </w:t>
      </w:r>
    </w:p>
    <w:p w14:paraId="0187D715" w14:textId="50A81805" w:rsidR="00234D99" w:rsidRDefault="00234D99" w:rsidP="00234D99">
      <w:r>
        <w:t>Individual targets are set for each pupil in receipt of the PPG and their progress towards achieving these targets is analysed at the end of interventions.</w:t>
      </w:r>
    </w:p>
    <w:p w14:paraId="5352FCA5" w14:textId="2E87868A" w:rsidR="00234D99" w:rsidRDefault="00234D99" w:rsidP="00234D99">
      <w:r>
        <w:t xml:space="preserve">The progress of pupils in receipt of the PPG is regularly discussed with </w:t>
      </w:r>
      <w:r w:rsidR="00801F94">
        <w:t>class</w:t>
      </w:r>
      <w:r>
        <w:t xml:space="preserve"> teachers.</w:t>
      </w:r>
    </w:p>
    <w:p w14:paraId="46C562E0" w14:textId="00B8F05D" w:rsidR="00750F14" w:rsidRPr="00750F14" w:rsidRDefault="00750F14" w:rsidP="00234D99">
      <w:r>
        <w:lastRenderedPageBreak/>
        <w:t xml:space="preserve">Once the three-year term has been completed, a new three-year strategy will be created in light of the lessons learned during the </w:t>
      </w:r>
      <w:r w:rsidR="00F70AFC">
        <w:t xml:space="preserve">execution of the </w:t>
      </w:r>
      <w:r>
        <w:t xml:space="preserve">previous </w:t>
      </w:r>
      <w:r w:rsidR="00F70AFC">
        <w:t>strategy,</w:t>
      </w:r>
      <w:r>
        <w:t xml:space="preserve"> and</w:t>
      </w:r>
      <w:r w:rsidR="00F70AFC">
        <w:t xml:space="preserve"> with regard to</w:t>
      </w:r>
      <w:r>
        <w:t xml:space="preserve"> any new guidance and evidence of best practice </w:t>
      </w:r>
      <w:r w:rsidR="00F70AFC">
        <w:t>that becomes</w:t>
      </w:r>
      <w:r>
        <w:t xml:space="preserve"> available. The </w:t>
      </w:r>
      <w:proofErr w:type="spellStart"/>
      <w:r w:rsidRPr="00801F94">
        <w:rPr>
          <w:bCs/>
        </w:rPr>
        <w:t>headteacher</w:t>
      </w:r>
      <w:proofErr w:type="spellEnd"/>
      <w:r>
        <w:rPr>
          <w:b/>
          <w:bCs/>
        </w:rPr>
        <w:t xml:space="preserve"> </w:t>
      </w:r>
      <w:r>
        <w:t xml:space="preserve">is responsible for ensuring a pupil premium strategy is always in effect. </w:t>
      </w:r>
    </w:p>
    <w:p w14:paraId="2A20A97C" w14:textId="271F28B3" w:rsidR="00234D99" w:rsidRDefault="00234D99" w:rsidP="007D49D0">
      <w:pPr>
        <w:pStyle w:val="Heading1"/>
      </w:pPr>
      <w:r>
        <w:t>Accountability</w:t>
      </w:r>
    </w:p>
    <w:p w14:paraId="31B332BD" w14:textId="77777777" w:rsidR="00234D99" w:rsidRDefault="00234D99" w:rsidP="00234D99">
      <w:r>
        <w:t>Ofsted inspections will report on the attainment and progress of disadvantaged pupils in receipt of the PPG.</w:t>
      </w:r>
    </w:p>
    <w:p w14:paraId="42AE5813" w14:textId="75907154" w:rsidR="00234D99" w:rsidRPr="00FE0DFC" w:rsidRDefault="00234D99" w:rsidP="00234D99">
      <w:r>
        <w:t>The school is held to account for the spending of the PPG through the focus in Ofsted inspections on the progress and attainment of the wider pupil premium eligible cohort</w:t>
      </w:r>
      <w:r w:rsidR="00EF76A3">
        <w:t>; however, they will not look for evidence of the grant’s i</w:t>
      </w:r>
      <w:r w:rsidR="00417D51">
        <w:t>m</w:t>
      </w:r>
      <w:r w:rsidR="00EF76A3">
        <w:t>pact on individual pupils</w:t>
      </w:r>
      <w:r w:rsidR="00417D51">
        <w:t>, or on precise interventions</w:t>
      </w:r>
      <w:r>
        <w:t>.</w:t>
      </w:r>
    </w:p>
    <w:p w14:paraId="35759B75" w14:textId="77777777" w:rsidR="00234D99" w:rsidRDefault="00234D99" w:rsidP="00234D99">
      <w:r>
        <w:t>The school publishes its strategy for using the pupil premium on the school website.</w:t>
      </w:r>
    </w:p>
    <w:p w14:paraId="59DDCE00" w14:textId="5AD18F15" w:rsidR="00252E7E" w:rsidRDefault="00252E7E" w:rsidP="007D49D0">
      <w:pPr>
        <w:pStyle w:val="Heading1"/>
      </w:pPr>
      <w:r>
        <w:t>Our funding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6"/>
        <w:gridCol w:w="1168"/>
        <w:gridCol w:w="175"/>
        <w:gridCol w:w="1560"/>
        <w:gridCol w:w="1089"/>
        <w:gridCol w:w="1884"/>
        <w:gridCol w:w="1654"/>
      </w:tblGrid>
      <w:tr w:rsidR="00252E7E" w:rsidRPr="00A90165" w14:paraId="539477AE" w14:textId="77777777" w:rsidTr="00E62981">
        <w:trPr>
          <w:trHeight w:val="366"/>
        </w:trPr>
        <w:tc>
          <w:tcPr>
            <w:tcW w:w="5000" w:type="pct"/>
            <w:gridSpan w:val="7"/>
            <w:shd w:val="clear" w:color="auto" w:fill="004251"/>
            <w:vAlign w:val="center"/>
          </w:tcPr>
          <w:p w14:paraId="3DA3E4FC" w14:textId="65C13BCE" w:rsidR="00252E7E" w:rsidRPr="00E62981" w:rsidRDefault="00252E7E" w:rsidP="00252E7E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Funding summary: Year 1</w:t>
            </w:r>
          </w:p>
        </w:tc>
      </w:tr>
      <w:tr w:rsidR="00E62981" w:rsidRPr="00A90165" w14:paraId="1AAA6961" w14:textId="77777777" w:rsidTr="003B3727">
        <w:tc>
          <w:tcPr>
            <w:tcW w:w="824" w:type="pct"/>
            <w:vMerge w:val="restart"/>
            <w:shd w:val="clear" w:color="auto" w:fill="347186"/>
            <w:vAlign w:val="center"/>
          </w:tcPr>
          <w:p w14:paraId="68CA7785" w14:textId="038F2BE8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Total number of pupils</w:t>
            </w:r>
          </w:p>
        </w:tc>
        <w:tc>
          <w:tcPr>
            <w:tcW w:w="648" w:type="pct"/>
            <w:vMerge w:val="restart"/>
          </w:tcPr>
          <w:p w14:paraId="2A4EFEB7" w14:textId="77777777" w:rsidR="00E62981" w:rsidRDefault="00E62981" w:rsidP="00BE3E5A">
            <w:pPr>
              <w:rPr>
                <w:rFonts w:cs="Arial"/>
                <w:sz w:val="22"/>
                <w:szCs w:val="22"/>
              </w:rPr>
            </w:pPr>
          </w:p>
          <w:p w14:paraId="338E70F9" w14:textId="77777777" w:rsidR="00801F94" w:rsidRDefault="00801F94" w:rsidP="00BE3E5A">
            <w:pPr>
              <w:rPr>
                <w:rFonts w:cs="Arial"/>
                <w:sz w:val="22"/>
                <w:szCs w:val="22"/>
              </w:rPr>
            </w:pPr>
          </w:p>
          <w:p w14:paraId="3A580E18" w14:textId="2EF17233" w:rsidR="00801F94" w:rsidRPr="00E62981" w:rsidRDefault="00271531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962" w:type="pct"/>
            <w:gridSpan w:val="2"/>
            <w:shd w:val="clear" w:color="auto" w:fill="347186"/>
            <w:vAlign w:val="center"/>
          </w:tcPr>
          <w:p w14:paraId="5F219452" w14:textId="347658F5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PPG received per pupil</w:t>
            </w:r>
          </w:p>
        </w:tc>
        <w:tc>
          <w:tcPr>
            <w:tcW w:w="604" w:type="pct"/>
            <w:vAlign w:val="center"/>
          </w:tcPr>
          <w:p w14:paraId="1F22492B" w14:textId="77777777" w:rsidR="00E62981" w:rsidRDefault="00E62981" w:rsidP="00BE3E5A">
            <w:pPr>
              <w:rPr>
                <w:rFonts w:cs="Arial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£</w:t>
            </w:r>
            <w:r w:rsidR="00801F94">
              <w:rPr>
                <w:rFonts w:cs="Arial"/>
                <w:sz w:val="22"/>
                <w:szCs w:val="22"/>
              </w:rPr>
              <w:t>1320</w:t>
            </w:r>
          </w:p>
          <w:p w14:paraId="3F4EB012" w14:textId="48C56F60" w:rsidR="00801F94" w:rsidRDefault="00801F94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£1900</w:t>
            </w:r>
          </w:p>
          <w:p w14:paraId="17A14ED4" w14:textId="77777777" w:rsidR="00801F94" w:rsidRDefault="00801F94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£2300</w:t>
            </w:r>
          </w:p>
          <w:p w14:paraId="2643F352" w14:textId="0D90A819" w:rsidR="00801F94" w:rsidRPr="00E62981" w:rsidRDefault="00801F94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£300</w:t>
            </w:r>
          </w:p>
        </w:tc>
        <w:tc>
          <w:tcPr>
            <w:tcW w:w="1045" w:type="pct"/>
            <w:shd w:val="clear" w:color="auto" w:fill="347186"/>
            <w:vAlign w:val="center"/>
          </w:tcPr>
          <w:p w14:paraId="17DA48FD" w14:textId="77777777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Indicative PPG as advised in School Budget Statement</w:t>
            </w:r>
          </w:p>
        </w:tc>
        <w:tc>
          <w:tcPr>
            <w:tcW w:w="917" w:type="pct"/>
            <w:vAlign w:val="center"/>
          </w:tcPr>
          <w:p w14:paraId="2C2ECE3B" w14:textId="5A8444F4" w:rsidR="00E62981" w:rsidRPr="00E62981" w:rsidRDefault="00E62981" w:rsidP="003B3727">
            <w:pPr>
              <w:jc w:val="left"/>
              <w:rPr>
                <w:rFonts w:cs="Arial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£</w:t>
            </w:r>
            <w:r w:rsidR="00727536">
              <w:rPr>
                <w:rFonts w:cs="Arial"/>
                <w:sz w:val="22"/>
                <w:szCs w:val="22"/>
              </w:rPr>
              <w:t>12028</w:t>
            </w:r>
          </w:p>
        </w:tc>
      </w:tr>
      <w:tr w:rsidR="00E62981" w:rsidRPr="00A90165" w14:paraId="053D5BD5" w14:textId="77777777" w:rsidTr="003B3727">
        <w:tc>
          <w:tcPr>
            <w:tcW w:w="824" w:type="pct"/>
            <w:vMerge/>
            <w:shd w:val="clear" w:color="auto" w:fill="347186"/>
            <w:vAlign w:val="center"/>
          </w:tcPr>
          <w:p w14:paraId="16996DB5" w14:textId="015DAF32" w:rsidR="00E62981" w:rsidRPr="00E62981" w:rsidRDefault="00E62981" w:rsidP="00BE3E5A">
            <w:pPr>
              <w:jc w:val="right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14:paraId="17126677" w14:textId="77777777" w:rsidR="00E62981" w:rsidRPr="00E62981" w:rsidRDefault="00E62981" w:rsidP="00BE3E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shd w:val="clear" w:color="auto" w:fill="347186"/>
            <w:vAlign w:val="center"/>
          </w:tcPr>
          <w:p w14:paraId="37F18F10" w14:textId="77777777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Number of pupils eligible for PPG</w:t>
            </w:r>
          </w:p>
        </w:tc>
        <w:tc>
          <w:tcPr>
            <w:tcW w:w="604" w:type="pct"/>
          </w:tcPr>
          <w:p w14:paraId="490A3C9E" w14:textId="76C06EE7" w:rsidR="00E62981" w:rsidRPr="00E62981" w:rsidRDefault="00271531" w:rsidP="002715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045" w:type="pct"/>
            <w:shd w:val="clear" w:color="auto" w:fill="347186"/>
            <w:vAlign w:val="center"/>
          </w:tcPr>
          <w:p w14:paraId="28C45124" w14:textId="77777777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Actual PPG budget</w:t>
            </w:r>
          </w:p>
        </w:tc>
        <w:tc>
          <w:tcPr>
            <w:tcW w:w="917" w:type="pct"/>
            <w:vAlign w:val="center"/>
          </w:tcPr>
          <w:p w14:paraId="0E69A075" w14:textId="262213AB" w:rsidR="00E62981" w:rsidRPr="00E62981" w:rsidRDefault="00E62981" w:rsidP="00EC3F86">
            <w:pPr>
              <w:jc w:val="left"/>
              <w:rPr>
                <w:rFonts w:cs="Arial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£</w:t>
            </w:r>
            <w:r w:rsidR="00801F94">
              <w:rPr>
                <w:rFonts w:cs="Arial"/>
                <w:sz w:val="22"/>
                <w:szCs w:val="22"/>
              </w:rPr>
              <w:t xml:space="preserve"> </w:t>
            </w:r>
            <w:r w:rsidR="00271531">
              <w:rPr>
                <w:rFonts w:cs="Arial"/>
                <w:sz w:val="22"/>
                <w:szCs w:val="22"/>
              </w:rPr>
              <w:t>2</w:t>
            </w:r>
            <w:r w:rsidR="00EC3F86">
              <w:rPr>
                <w:rFonts w:cs="Arial"/>
                <w:sz w:val="22"/>
                <w:szCs w:val="22"/>
              </w:rPr>
              <w:t>7180</w:t>
            </w:r>
          </w:p>
        </w:tc>
      </w:tr>
      <w:tr w:rsidR="00252E7E" w:rsidRPr="00A90165" w14:paraId="2E8673C4" w14:textId="77777777" w:rsidTr="00E62981">
        <w:tc>
          <w:tcPr>
            <w:tcW w:w="5000" w:type="pct"/>
            <w:gridSpan w:val="7"/>
            <w:shd w:val="clear" w:color="auto" w:fill="004251"/>
            <w:vAlign w:val="center"/>
          </w:tcPr>
          <w:p w14:paraId="72E3F6F8" w14:textId="077C7817" w:rsidR="00252E7E" w:rsidRPr="00E62981" w:rsidRDefault="00252E7E" w:rsidP="00252E7E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Funding estimate: Year 2</w:t>
            </w:r>
          </w:p>
        </w:tc>
      </w:tr>
      <w:tr w:rsidR="00E62981" w14:paraId="07F35088" w14:textId="77777777" w:rsidTr="00E62981">
        <w:tc>
          <w:tcPr>
            <w:tcW w:w="1569" w:type="pct"/>
            <w:gridSpan w:val="3"/>
            <w:shd w:val="clear" w:color="auto" w:fill="347186"/>
          </w:tcPr>
          <w:p w14:paraId="311729F3" w14:textId="3395F000" w:rsidR="00E62981" w:rsidRPr="00E62981" w:rsidRDefault="00E62981" w:rsidP="00252E7E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pupil numbers</w:t>
            </w:r>
          </w:p>
        </w:tc>
        <w:tc>
          <w:tcPr>
            <w:tcW w:w="3431" w:type="pct"/>
            <w:gridSpan w:val="4"/>
          </w:tcPr>
          <w:p w14:paraId="60B12C09" w14:textId="440604A2" w:rsidR="00E62981" w:rsidRPr="00E62981" w:rsidRDefault="00271531" w:rsidP="00252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E62981" w14:paraId="0CA36E96" w14:textId="77777777" w:rsidTr="00E62981">
        <w:tc>
          <w:tcPr>
            <w:tcW w:w="1569" w:type="pct"/>
            <w:gridSpan w:val="3"/>
            <w:shd w:val="clear" w:color="auto" w:fill="347186"/>
          </w:tcPr>
          <w:p w14:paraId="55118C00" w14:textId="5397C9DE" w:rsidR="00E62981" w:rsidRPr="00E62981" w:rsidRDefault="00524BC9" w:rsidP="00524BC9">
            <w:pPr>
              <w:jc w:val="left"/>
              <w:rPr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Estimated n</w:t>
            </w:r>
            <w:r w:rsidR="00E62981" w:rsidRPr="00E62981">
              <w:rPr>
                <w:rFonts w:cs="Arial"/>
                <w:color w:val="FFFFFF" w:themeColor="background1"/>
                <w:sz w:val="22"/>
                <w:szCs w:val="22"/>
              </w:rPr>
              <w:t>umber of pupils eligible for PPG</w:t>
            </w:r>
          </w:p>
        </w:tc>
        <w:tc>
          <w:tcPr>
            <w:tcW w:w="3431" w:type="pct"/>
            <w:gridSpan w:val="4"/>
          </w:tcPr>
          <w:p w14:paraId="1D34C62D" w14:textId="1E29EFE5" w:rsidR="00E62981" w:rsidRPr="00E62981" w:rsidRDefault="00271531" w:rsidP="00252E7E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E62981" w14:paraId="5DC2C194" w14:textId="77777777" w:rsidTr="00E62981">
        <w:tc>
          <w:tcPr>
            <w:tcW w:w="1569" w:type="pct"/>
            <w:gridSpan w:val="3"/>
            <w:shd w:val="clear" w:color="auto" w:fill="347186"/>
          </w:tcPr>
          <w:p w14:paraId="1C651D2B" w14:textId="5CBDF679" w:rsidR="00E62981" w:rsidRPr="00E62981" w:rsidRDefault="00E62981" w:rsidP="00252E7E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funding</w:t>
            </w:r>
          </w:p>
        </w:tc>
        <w:tc>
          <w:tcPr>
            <w:tcW w:w="3431" w:type="pct"/>
            <w:gridSpan w:val="4"/>
          </w:tcPr>
          <w:p w14:paraId="6E1CB117" w14:textId="6214C1EB" w:rsidR="00E62981" w:rsidRPr="00E62981" w:rsidRDefault="00E62981" w:rsidP="00271531">
            <w:pPr>
              <w:rPr>
                <w:sz w:val="22"/>
                <w:szCs w:val="22"/>
              </w:rPr>
            </w:pPr>
            <w:r w:rsidRPr="00E62981">
              <w:rPr>
                <w:sz w:val="22"/>
                <w:szCs w:val="22"/>
              </w:rPr>
              <w:t>£</w:t>
            </w:r>
            <w:r w:rsidR="00271531">
              <w:rPr>
                <w:sz w:val="22"/>
                <w:szCs w:val="22"/>
              </w:rPr>
              <w:t>21,600</w:t>
            </w:r>
          </w:p>
        </w:tc>
      </w:tr>
      <w:tr w:rsidR="00E62981" w14:paraId="1D18FAA7" w14:textId="77777777" w:rsidTr="00E62981">
        <w:tc>
          <w:tcPr>
            <w:tcW w:w="5000" w:type="pct"/>
            <w:gridSpan w:val="7"/>
            <w:shd w:val="clear" w:color="auto" w:fill="004251"/>
            <w:vAlign w:val="center"/>
          </w:tcPr>
          <w:p w14:paraId="134D71F2" w14:textId="1592234B" w:rsidR="00E62981" w:rsidRPr="00E62981" w:rsidRDefault="00E62981" w:rsidP="00E62981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Funding estimate: Year 3</w:t>
            </w:r>
          </w:p>
        </w:tc>
      </w:tr>
      <w:tr w:rsidR="00E62981" w14:paraId="14C3B732" w14:textId="77777777" w:rsidTr="00E62981">
        <w:tc>
          <w:tcPr>
            <w:tcW w:w="1569" w:type="pct"/>
            <w:gridSpan w:val="3"/>
            <w:shd w:val="clear" w:color="auto" w:fill="347186"/>
          </w:tcPr>
          <w:p w14:paraId="625492D0" w14:textId="65CD43AD" w:rsidR="00E62981" w:rsidRPr="00E62981" w:rsidRDefault="00E62981" w:rsidP="00E62981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pupil numbers</w:t>
            </w:r>
          </w:p>
        </w:tc>
        <w:tc>
          <w:tcPr>
            <w:tcW w:w="3431" w:type="pct"/>
            <w:gridSpan w:val="4"/>
          </w:tcPr>
          <w:p w14:paraId="61910D9A" w14:textId="5698E937" w:rsidR="00E62981" w:rsidRPr="00E62981" w:rsidRDefault="00271531" w:rsidP="00E62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E62981" w14:paraId="558ED600" w14:textId="77777777" w:rsidTr="00E62981">
        <w:tc>
          <w:tcPr>
            <w:tcW w:w="1569" w:type="pct"/>
            <w:gridSpan w:val="3"/>
            <w:shd w:val="clear" w:color="auto" w:fill="347186"/>
          </w:tcPr>
          <w:p w14:paraId="4FD252C2" w14:textId="62892ABD" w:rsidR="00E62981" w:rsidRPr="00E62981" w:rsidRDefault="00524BC9" w:rsidP="00524BC9">
            <w:pPr>
              <w:jc w:val="left"/>
              <w:rPr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Estimated n</w:t>
            </w:r>
            <w:r w:rsidR="00E62981" w:rsidRPr="00E62981">
              <w:rPr>
                <w:rFonts w:cs="Arial"/>
                <w:color w:val="FFFFFF" w:themeColor="background1"/>
                <w:sz w:val="22"/>
                <w:szCs w:val="22"/>
              </w:rPr>
              <w:t>umber of pupils eligible for PPG</w:t>
            </w:r>
          </w:p>
        </w:tc>
        <w:tc>
          <w:tcPr>
            <w:tcW w:w="3431" w:type="pct"/>
            <w:gridSpan w:val="4"/>
          </w:tcPr>
          <w:p w14:paraId="52BDC72C" w14:textId="164CC64E" w:rsidR="00E62981" w:rsidRPr="00E62981" w:rsidRDefault="00271531" w:rsidP="00E62981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E62981" w14:paraId="7C726BBE" w14:textId="77777777" w:rsidTr="00E62981">
        <w:tc>
          <w:tcPr>
            <w:tcW w:w="1569" w:type="pct"/>
            <w:gridSpan w:val="3"/>
            <w:shd w:val="clear" w:color="auto" w:fill="347186"/>
          </w:tcPr>
          <w:p w14:paraId="203A445E" w14:textId="0EAA384A" w:rsidR="00E62981" w:rsidRPr="00E62981" w:rsidRDefault="00E62981" w:rsidP="00E62981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funding</w:t>
            </w:r>
          </w:p>
        </w:tc>
        <w:tc>
          <w:tcPr>
            <w:tcW w:w="3431" w:type="pct"/>
            <w:gridSpan w:val="4"/>
          </w:tcPr>
          <w:p w14:paraId="765D82DE" w14:textId="42E1A165" w:rsidR="00E62981" w:rsidRPr="00E62981" w:rsidRDefault="00E62981" w:rsidP="00271531">
            <w:pPr>
              <w:rPr>
                <w:sz w:val="22"/>
                <w:szCs w:val="22"/>
              </w:rPr>
            </w:pPr>
            <w:r w:rsidRPr="00E62981">
              <w:rPr>
                <w:sz w:val="22"/>
                <w:szCs w:val="22"/>
              </w:rPr>
              <w:t>£</w:t>
            </w:r>
            <w:r w:rsidR="00271531">
              <w:rPr>
                <w:sz w:val="22"/>
                <w:szCs w:val="22"/>
              </w:rPr>
              <w:t>18480</w:t>
            </w:r>
          </w:p>
        </w:tc>
      </w:tr>
    </w:tbl>
    <w:p w14:paraId="66D30B28" w14:textId="77777777" w:rsidR="00E62981" w:rsidRPr="00252E7E" w:rsidRDefault="00E62981" w:rsidP="00252E7E">
      <w:pPr>
        <w:rPr>
          <w:lang w:eastAsia="en-GB"/>
        </w:rPr>
      </w:pPr>
    </w:p>
    <w:p w14:paraId="40EA0DE2" w14:textId="77777777" w:rsidR="00252E7E" w:rsidRDefault="00252E7E" w:rsidP="007D49D0">
      <w:pPr>
        <w:pStyle w:val="TSB-PolicyBullets"/>
      </w:pPr>
    </w:p>
    <w:p w14:paraId="3625532D" w14:textId="11250687" w:rsidR="002E2D2C" w:rsidRDefault="002E2D2C">
      <w:pPr>
        <w:pStyle w:val="TSB-PolicyBullets"/>
        <w:sectPr w:rsidR="002E2D2C" w:rsidSect="00BD30B5">
          <w:footerReference w:type="default" r:id="rId7"/>
          <w:headerReference w:type="first" r:id="rId8"/>
          <w:footerReference w:type="first" r:id="rId9"/>
          <w:pgSz w:w="11906" w:h="16838"/>
          <w:pgMar w:top="1521" w:right="1440" w:bottom="1440" w:left="1440" w:header="708" w:footer="708" w:gutter="0"/>
          <w:cols w:space="708"/>
          <w:titlePg/>
          <w:docGrid w:linePitch="360"/>
        </w:sectPr>
      </w:pPr>
    </w:p>
    <w:p w14:paraId="31F14CB9" w14:textId="1BE31C10" w:rsidR="00742198" w:rsidRDefault="00610721">
      <w:pPr>
        <w:pStyle w:val="Heading1"/>
      </w:pPr>
      <w:bookmarkStart w:id="6" w:name="_Intervention_planning_in"/>
      <w:bookmarkEnd w:id="6"/>
      <w:r w:rsidRPr="002E2D2C">
        <w:lastRenderedPageBreak/>
        <w:t>Intervention planning</w:t>
      </w:r>
      <w:r w:rsidR="002E2D2C" w:rsidRPr="002E2D2C">
        <w:t xml:space="preserve"> in full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200"/>
        <w:gridCol w:w="1976"/>
        <w:gridCol w:w="225"/>
        <w:gridCol w:w="1053"/>
        <w:gridCol w:w="849"/>
        <w:gridCol w:w="994"/>
        <w:gridCol w:w="1502"/>
        <w:gridCol w:w="1899"/>
        <w:gridCol w:w="2493"/>
      </w:tblGrid>
      <w:tr w:rsidR="00610721" w:rsidRPr="009C6F1E" w14:paraId="281B44DE" w14:textId="77777777" w:rsidTr="009C6F1E">
        <w:tc>
          <w:tcPr>
            <w:tcW w:w="714" w:type="pct"/>
            <w:shd w:val="clear" w:color="auto" w:fill="004251"/>
            <w:vAlign w:val="center"/>
          </w:tcPr>
          <w:p w14:paraId="1201E2D1" w14:textId="4FAD9924" w:rsidR="00610721" w:rsidRPr="009C6F1E" w:rsidRDefault="00610721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Intervention</w:t>
            </w:r>
            <w:r w:rsidR="009C6F1E" w:rsidRPr="009C6F1E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286" w:type="pct"/>
            <w:gridSpan w:val="9"/>
          </w:tcPr>
          <w:p w14:paraId="33773126" w14:textId="13C5FDFA" w:rsidR="008E4DEF" w:rsidRDefault="008E4DEF" w:rsidP="00EA3077">
            <w:pPr>
              <w:pStyle w:val="Header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Professional development through KYRA teaching school and other external agencies as required.</w:t>
            </w:r>
          </w:p>
          <w:p w14:paraId="6D671EF3" w14:textId="4AC7785B" w:rsidR="00610721" w:rsidRPr="00D90D0A" w:rsidRDefault="00D90D0A" w:rsidP="00EA3077">
            <w:pPr>
              <w:pStyle w:val="Header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Continuous Professional Development across the federation.</w:t>
            </w:r>
          </w:p>
        </w:tc>
      </w:tr>
      <w:tr w:rsidR="00610721" w:rsidRPr="009C6F1E" w14:paraId="0FC25694" w14:textId="77777777" w:rsidTr="009C6F1E">
        <w:tc>
          <w:tcPr>
            <w:tcW w:w="714" w:type="pct"/>
            <w:shd w:val="clear" w:color="auto" w:fill="004251"/>
            <w:vAlign w:val="center"/>
          </w:tcPr>
          <w:p w14:paraId="392DC467" w14:textId="51D8EC45" w:rsidR="00610721" w:rsidRPr="009C6F1E" w:rsidRDefault="00610721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</w:t>
            </w:r>
            <w:r w:rsidR="009C6F1E" w:rsidRPr="009C6F1E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286" w:type="pct"/>
            <w:gridSpan w:val="9"/>
          </w:tcPr>
          <w:p w14:paraId="2BD46F66" w14:textId="65FC750F" w:rsidR="00610721" w:rsidRPr="00D90D0A" w:rsidRDefault="00524BC9" w:rsidP="00610721">
            <w:pPr>
              <w:spacing w:before="200" w:after="200"/>
              <w:rPr>
                <w:bCs/>
                <w:color w:val="FFD006"/>
                <w:sz w:val="22"/>
                <w:szCs w:val="22"/>
              </w:rPr>
            </w:pPr>
            <w:r w:rsidRPr="00D90D0A">
              <w:rPr>
                <w:bCs/>
                <w:sz w:val="22"/>
                <w:szCs w:val="22"/>
              </w:rPr>
              <w:t>Quality of teaching</w:t>
            </w:r>
          </w:p>
        </w:tc>
      </w:tr>
      <w:tr w:rsidR="009C6F1E" w:rsidRPr="009C6F1E" w14:paraId="16387C52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2D8019EC" w14:textId="09ECE604" w:rsidR="009C6F1E" w:rsidRPr="009C6F1E" w:rsidRDefault="009C6F1E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6FDAA9BE" w14:textId="65432386" w:rsidR="009C6F1E" w:rsidRPr="00D90D0A" w:rsidRDefault="00E70557" w:rsidP="00D90D0A">
            <w:pPr>
              <w:spacing w:before="200" w:after="200"/>
              <w:jc w:val="left"/>
              <w:rPr>
                <w:bCs/>
                <w:sz w:val="22"/>
                <w:szCs w:val="22"/>
              </w:rPr>
            </w:pPr>
            <w:r w:rsidRPr="00D90D0A">
              <w:rPr>
                <w:bCs/>
                <w:sz w:val="22"/>
                <w:szCs w:val="22"/>
              </w:rPr>
              <w:t xml:space="preserve">Improve the quality of teaching </w:t>
            </w:r>
            <w:r w:rsidR="00D90D0A">
              <w:rPr>
                <w:bCs/>
                <w:sz w:val="22"/>
                <w:szCs w:val="22"/>
              </w:rPr>
              <w:t>for those vulnerable and disadvantaged pupils.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32AEE186" w14:textId="19D366C4" w:rsidR="009C6F1E" w:rsidRPr="00E70557" w:rsidRDefault="009C6F1E" w:rsidP="009C6F1E">
            <w:pPr>
              <w:jc w:val="left"/>
              <w:rPr>
                <w:sz w:val="22"/>
                <w:szCs w:val="22"/>
              </w:rPr>
            </w:pPr>
            <w:r w:rsidRPr="00E70557">
              <w:rPr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266F4861" w14:textId="630F44B0" w:rsidR="009C6F1E" w:rsidRPr="00D90D0A" w:rsidRDefault="00D90D0A" w:rsidP="0024296E">
            <w:pPr>
              <w:spacing w:before="200" w:after="20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Attainment </w:t>
            </w:r>
            <w:r w:rsidR="00B639B5">
              <w:rPr>
                <w:bCs/>
                <w:sz w:val="22"/>
                <w:szCs w:val="22"/>
              </w:rPr>
              <w:t xml:space="preserve">gap </w:t>
            </w:r>
            <w:r>
              <w:rPr>
                <w:bCs/>
                <w:sz w:val="22"/>
                <w:szCs w:val="22"/>
              </w:rPr>
              <w:t xml:space="preserve">between pupil premium and </w:t>
            </w:r>
            <w:r w:rsidR="00EA3077">
              <w:rPr>
                <w:bCs/>
                <w:sz w:val="22"/>
                <w:szCs w:val="22"/>
              </w:rPr>
              <w:t>non-pupil</w:t>
            </w:r>
            <w:r>
              <w:rPr>
                <w:bCs/>
                <w:sz w:val="22"/>
                <w:szCs w:val="22"/>
              </w:rPr>
              <w:t xml:space="preserve"> premium </w:t>
            </w:r>
            <w:r w:rsidR="00B639B5">
              <w:rPr>
                <w:bCs/>
                <w:sz w:val="22"/>
                <w:szCs w:val="22"/>
              </w:rPr>
              <w:t>is narrowed.</w:t>
            </w:r>
          </w:p>
        </w:tc>
      </w:tr>
      <w:tr w:rsidR="00610721" w:rsidRPr="009C6F1E" w14:paraId="79B1DB0B" w14:textId="77777777" w:rsidTr="009C6F1E">
        <w:tc>
          <w:tcPr>
            <w:tcW w:w="714" w:type="pct"/>
            <w:shd w:val="clear" w:color="auto" w:fill="004251"/>
            <w:vAlign w:val="center"/>
          </w:tcPr>
          <w:p w14:paraId="1006096B" w14:textId="6040DDD9" w:rsidR="00610721" w:rsidRPr="009C6F1E" w:rsidRDefault="00610721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</w:t>
            </w:r>
            <w:r w:rsidR="009C6F1E" w:rsidRPr="009C6F1E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286" w:type="pct"/>
            <w:gridSpan w:val="9"/>
          </w:tcPr>
          <w:p w14:paraId="52A4071E" w14:textId="3B42CF06" w:rsidR="00610721" w:rsidRPr="00B639B5" w:rsidRDefault="00B639B5" w:rsidP="00610721">
            <w:pPr>
              <w:spacing w:before="200"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SLT</w:t>
            </w:r>
          </w:p>
        </w:tc>
      </w:tr>
      <w:tr w:rsidR="00610721" w:rsidRPr="009C6F1E" w14:paraId="2A02E63D" w14:textId="77777777" w:rsidTr="009C6F1E">
        <w:tc>
          <w:tcPr>
            <w:tcW w:w="714" w:type="pct"/>
            <w:vMerge w:val="restart"/>
            <w:shd w:val="clear" w:color="auto" w:fill="347186"/>
            <w:vAlign w:val="center"/>
          </w:tcPr>
          <w:p w14:paraId="372D2A56" w14:textId="77777777" w:rsidR="00610721" w:rsidRPr="009C6F1E" w:rsidRDefault="00610721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5ABDEA1A" w14:textId="77777777" w:rsidR="00610721" w:rsidRPr="009C6F1E" w:rsidRDefault="00610721" w:rsidP="00610721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42CABE83" w14:textId="77777777" w:rsidR="00610721" w:rsidRPr="009C6F1E" w:rsidRDefault="00610721" w:rsidP="00610721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76FB83F9" w14:textId="77777777" w:rsidR="00610721" w:rsidRPr="009C6F1E" w:rsidRDefault="00610721" w:rsidP="00610721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BD67A8" w:rsidRPr="009C6F1E" w14:paraId="6AED33BD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1FCB1666" w14:textId="77777777" w:rsidR="00BD67A8" w:rsidRPr="009C6F1E" w:rsidRDefault="00BD67A8" w:rsidP="00BD67A8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32AD9F76" w14:textId="77EF4F69" w:rsidR="00BD67A8" w:rsidRDefault="00BD67A8" w:rsidP="00BD67A8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 w:rsidR="009C6F1E">
              <w:rPr>
                <w:sz w:val="22"/>
                <w:szCs w:val="22"/>
              </w:rPr>
              <w:t xml:space="preserve"> this intervention in year 1</w:t>
            </w:r>
            <w:r w:rsidRPr="009C6F1E">
              <w:rPr>
                <w:sz w:val="22"/>
                <w:szCs w:val="22"/>
              </w:rPr>
              <w:t>:</w:t>
            </w:r>
          </w:p>
          <w:p w14:paraId="668990D1" w14:textId="77777777" w:rsidR="00B639B5" w:rsidRDefault="00B639B5" w:rsidP="00454F1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SLT specify areas of priority.</w:t>
            </w:r>
          </w:p>
          <w:p w14:paraId="31AA4E99" w14:textId="5CFA433E" w:rsidR="00E70557" w:rsidRDefault="00B639B5" w:rsidP="00B639B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Staff to identify opportunities of CPD in their Performance Management with external agencies such as KYRA.</w:t>
            </w:r>
          </w:p>
          <w:p w14:paraId="3335A6EF" w14:textId="77777777" w:rsidR="00B639B5" w:rsidRDefault="00B639B5" w:rsidP="00B639B5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D2707A4" w14:textId="389E72E3" w:rsidR="00B639B5" w:rsidRPr="00B639B5" w:rsidRDefault="00B639B5" w:rsidP="00B639B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29" w:type="pct"/>
            <w:gridSpan w:val="4"/>
          </w:tcPr>
          <w:p w14:paraId="40A821CA" w14:textId="199B2A25" w:rsidR="00BD67A8" w:rsidRDefault="00BD67A8" w:rsidP="00BD67A8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How we will implement </w:t>
            </w:r>
            <w:r w:rsidR="009C6F1E">
              <w:rPr>
                <w:sz w:val="22"/>
                <w:szCs w:val="22"/>
              </w:rPr>
              <w:t xml:space="preserve">this intervention in year 2 </w:t>
            </w:r>
            <w:r w:rsidRPr="009C6F1E">
              <w:rPr>
                <w:sz w:val="22"/>
                <w:szCs w:val="22"/>
              </w:rPr>
              <w:t>(</w:t>
            </w:r>
            <w:r w:rsidR="00454F11"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 w:rsidR="00454F11">
              <w:rPr>
                <w:sz w:val="22"/>
                <w:szCs w:val="22"/>
              </w:rPr>
              <w:t xml:space="preserve">year 1 </w:t>
            </w:r>
            <w:r w:rsidRPr="009C6F1E">
              <w:rPr>
                <w:sz w:val="22"/>
                <w:szCs w:val="22"/>
              </w:rPr>
              <w:t xml:space="preserve">annual </w:t>
            </w:r>
            <w:r w:rsidR="0024296E">
              <w:rPr>
                <w:sz w:val="22"/>
                <w:szCs w:val="22"/>
              </w:rPr>
              <w:t xml:space="preserve">light-touch </w:t>
            </w:r>
            <w:r w:rsidRPr="009C6F1E">
              <w:rPr>
                <w:sz w:val="22"/>
                <w:szCs w:val="22"/>
              </w:rPr>
              <w:t>review):</w:t>
            </w:r>
          </w:p>
          <w:p w14:paraId="6D5D0E72" w14:textId="25358F94" w:rsidR="00D561E2" w:rsidRPr="009C6F1E" w:rsidRDefault="00D561E2" w:rsidP="00EA3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7CFEDD8D" w14:textId="01DD6342" w:rsidR="00BD67A8" w:rsidRDefault="00BD67A8" w:rsidP="00BD67A8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 w:rsidR="009C6F1E">
              <w:rPr>
                <w:sz w:val="22"/>
                <w:szCs w:val="22"/>
              </w:rPr>
              <w:t xml:space="preserve"> this intervention in year 3</w:t>
            </w:r>
            <w:r w:rsidRPr="009C6F1E">
              <w:rPr>
                <w:sz w:val="22"/>
                <w:szCs w:val="22"/>
              </w:rPr>
              <w:t xml:space="preserve"> (</w:t>
            </w:r>
            <w:r w:rsidR="00454F11"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 w:rsidR="00454F11">
              <w:rPr>
                <w:sz w:val="22"/>
                <w:szCs w:val="22"/>
              </w:rPr>
              <w:t>year 2</w:t>
            </w:r>
            <w:r w:rsidR="0024296E">
              <w:rPr>
                <w:sz w:val="22"/>
                <w:szCs w:val="22"/>
              </w:rPr>
              <w:t xml:space="preserve"> light-touch</w:t>
            </w:r>
            <w:r w:rsidR="00454F11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t>annual review):</w:t>
            </w:r>
          </w:p>
          <w:p w14:paraId="26000C86" w14:textId="19B95551" w:rsidR="00D561E2" w:rsidRPr="009C6F1E" w:rsidRDefault="00D561E2" w:rsidP="00EA3077">
            <w:pPr>
              <w:jc w:val="left"/>
              <w:rPr>
                <w:sz w:val="22"/>
                <w:szCs w:val="22"/>
              </w:rPr>
            </w:pPr>
          </w:p>
        </w:tc>
      </w:tr>
      <w:tr w:rsidR="00BD67A8" w:rsidRPr="009C6F1E" w14:paraId="6276711C" w14:textId="77777777" w:rsidTr="00192460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4C477286" w14:textId="468598B0" w:rsidR="00BD67A8" w:rsidRPr="0024296E" w:rsidRDefault="0024296E" w:rsidP="0019246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</w:t>
            </w:r>
            <w:r w:rsidR="00192460" w:rsidRPr="0024296E">
              <w:rPr>
                <w:color w:val="FFFFFF" w:themeColor="background1"/>
                <w:sz w:val="22"/>
                <w:szCs w:val="22"/>
              </w:rPr>
              <w:t>eview</w:t>
            </w:r>
            <w:r w:rsidRPr="0024296E">
              <w:rPr>
                <w:color w:val="FFFFFF" w:themeColor="background1"/>
                <w:sz w:val="22"/>
                <w:szCs w:val="22"/>
              </w:rPr>
              <w:t xml:space="preserve"> notes</w:t>
            </w:r>
          </w:p>
        </w:tc>
        <w:tc>
          <w:tcPr>
            <w:tcW w:w="1430" w:type="pct"/>
            <w:gridSpan w:val="3"/>
          </w:tcPr>
          <w:p w14:paraId="41B2AED3" w14:textId="77777777" w:rsidR="00BD67A8" w:rsidRDefault="00BD67A8" w:rsidP="00BD67A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6C0159A4" w14:textId="12E59EE8" w:rsidR="00D561E2" w:rsidRPr="00D561E2" w:rsidRDefault="00D561E2" w:rsidP="00BD67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9" w:type="pct"/>
            <w:gridSpan w:val="4"/>
          </w:tcPr>
          <w:p w14:paraId="294E0F11" w14:textId="77777777" w:rsidR="00BD67A8" w:rsidRDefault="00BD67A8" w:rsidP="009C6F1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0AD8D60D" w14:textId="0E0DF4C3" w:rsidR="00D561E2" w:rsidRPr="009C6F1E" w:rsidRDefault="00D561E2" w:rsidP="009C6F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44B9B945" w14:textId="77777777" w:rsidR="00BD67A8" w:rsidRDefault="00BD67A8" w:rsidP="009C6F1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3B9872BC" w14:textId="4873A572" w:rsidR="00D561E2" w:rsidRPr="009C6F1E" w:rsidRDefault="00D561E2" w:rsidP="009C6F1E">
            <w:pPr>
              <w:rPr>
                <w:sz w:val="22"/>
                <w:szCs w:val="22"/>
              </w:rPr>
            </w:pPr>
          </w:p>
        </w:tc>
      </w:tr>
      <w:tr w:rsidR="0024296E" w:rsidRPr="009C6F1E" w14:paraId="2DFD9FCC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310DCA64" w14:textId="39C77EBD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6810C322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661AEF4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2596CC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BAED1CE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CB3988F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91A2D99" w14:textId="40F0A62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1CD9F4E6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7094DF23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A413BC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39EF0B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4B4DB71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C544D86" w14:textId="3406674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6FC8007F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66C7F89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20991E83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2D34570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3A3293F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492F1320" w14:textId="166EF826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9C6F1E" w:rsidRPr="009C6F1E" w14:paraId="4FD403B2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4DE1EB4" w14:textId="77777777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084CCFF0" w14:textId="77777777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05D1D713" w14:textId="6B4D92C2" w:rsidR="009C6F1E" w:rsidRPr="009C6F1E" w:rsidRDefault="009C6F1E" w:rsidP="00996733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8E4DEF">
              <w:rPr>
                <w:sz w:val="22"/>
                <w:szCs w:val="22"/>
              </w:rPr>
              <w:t xml:space="preserve"> </w:t>
            </w:r>
            <w:r w:rsidR="00996733">
              <w:rPr>
                <w:sz w:val="22"/>
                <w:szCs w:val="22"/>
              </w:rPr>
              <w:t>525</w:t>
            </w:r>
            <w:bookmarkStart w:id="7" w:name="_GoBack"/>
            <w:bookmarkEnd w:id="7"/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5E349FCF" w14:textId="22E341E4" w:rsidR="009C6F1E" w:rsidRPr="009C6F1E" w:rsidRDefault="00401009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="009C6F1E"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="009C6F1E"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9D8611D" w14:textId="77777777" w:rsidR="009C6F1E" w:rsidRDefault="009C6F1E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7D1293DC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3E3B2F9" w14:textId="3FFB8045" w:rsidR="00401009" w:rsidRPr="009C6F1E" w:rsidRDefault="00401009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155CE13" w14:textId="5EAD6ADA" w:rsidR="009C6F1E" w:rsidRPr="009C6F1E" w:rsidRDefault="00401009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2C21A437" w14:textId="77777777" w:rsidR="00401009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1A5A05C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3CFA405" w14:textId="6A059CBF" w:rsidR="009C6F1E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9C6F1E" w:rsidRPr="009C6F1E" w14:paraId="55D3D0B3" w14:textId="77777777" w:rsidTr="0024296E">
        <w:tc>
          <w:tcPr>
            <w:tcW w:w="714" w:type="pct"/>
            <w:vMerge/>
            <w:shd w:val="clear" w:color="auto" w:fill="347186"/>
          </w:tcPr>
          <w:p w14:paraId="139EA021" w14:textId="77777777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4771CB02" w14:textId="3FFF9A74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66CF3E01" w14:textId="354555F6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78A871A" w14:textId="4F959CD8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592A3D0C" w14:textId="39AEF910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474E394" w14:textId="3D4556BE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1A7356C0" w14:textId="0F42F75E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9C6F1E" w:rsidRPr="009C6F1E" w14:paraId="401D6A50" w14:textId="77777777" w:rsidTr="0024296E">
        <w:tc>
          <w:tcPr>
            <w:tcW w:w="714" w:type="pct"/>
            <w:vMerge/>
            <w:shd w:val="clear" w:color="auto" w:fill="347186"/>
          </w:tcPr>
          <w:p w14:paraId="461CB61C" w14:textId="77777777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56833746" w14:textId="13FF7493" w:rsidR="009C6F1E" w:rsidRPr="009C6F1E" w:rsidRDefault="009C6F1E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2AD4C885" w14:textId="187A3515" w:rsidR="009C6F1E" w:rsidRPr="009C6F1E" w:rsidRDefault="009C6F1E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9C6F1E" w:rsidRPr="009C6F1E" w14:paraId="3554DEBE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5E9D399D" w14:textId="1B3CBAAD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50B81A98" w14:textId="45C4B659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41E11BE6" w14:textId="26943C0A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3F828DC" w14:textId="3480518C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124465C1" w14:textId="39C529A6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65004AE4" w14:textId="758EE1DE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57460C5B" w14:textId="057BFF75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401009" w:rsidRPr="009C6F1E" w14:paraId="3DB0212D" w14:textId="77777777" w:rsidTr="0024296E">
        <w:tc>
          <w:tcPr>
            <w:tcW w:w="714" w:type="pct"/>
            <w:vMerge/>
            <w:shd w:val="clear" w:color="auto" w:fill="347186"/>
          </w:tcPr>
          <w:p w14:paraId="13F1F724" w14:textId="77777777" w:rsidR="00401009" w:rsidRPr="009C6F1E" w:rsidRDefault="00401009" w:rsidP="00401009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44A2EAEE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391B97E9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29F8B40" w14:textId="5DD9417C" w:rsidR="00401009" w:rsidRPr="009C6F1E" w:rsidRDefault="002E2D2C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</w:t>
            </w:r>
            <w:r w:rsidR="00401009">
              <w:rPr>
                <w:sz w:val="22"/>
                <w:szCs w:val="22"/>
              </w:rPr>
              <w:t xml:space="preserve"> expenditure increase</w:t>
            </w:r>
            <w:r w:rsidR="00401009" w:rsidRPr="009C6F1E">
              <w:rPr>
                <w:sz w:val="22"/>
                <w:szCs w:val="22"/>
              </w:rPr>
              <w:t xml:space="preserve">, decrease or </w:t>
            </w:r>
            <w:r w:rsidR="00401009">
              <w:rPr>
                <w:sz w:val="22"/>
                <w:szCs w:val="22"/>
              </w:rPr>
              <w:t>remain the same</w:t>
            </w:r>
            <w:r w:rsidR="00401009"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A211211" w14:textId="6BF91D92" w:rsidR="00401009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1BF0C7C" w14:textId="4EF04E4B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DAE0CA2" w14:textId="1CB73414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</w:t>
            </w:r>
            <w:r w:rsidR="002E2D2C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927A2C1" w14:textId="72B22535" w:rsidR="00401009" w:rsidRPr="009C6F1E" w:rsidRDefault="002E2D2C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1514144F" w14:textId="3B55B71C" w:rsidR="00401009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E5BD6B8" w14:textId="625E90D3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09BA25A" w14:textId="13FEF4E9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</w:t>
            </w:r>
            <w:r w:rsidR="002E2D2C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9C6F1E" w:rsidRPr="009C6F1E" w14:paraId="60F7059A" w14:textId="77777777" w:rsidTr="0024296E">
        <w:tc>
          <w:tcPr>
            <w:tcW w:w="714" w:type="pct"/>
            <w:vMerge/>
            <w:shd w:val="clear" w:color="auto" w:fill="347186"/>
          </w:tcPr>
          <w:p w14:paraId="28F583F4" w14:textId="77777777" w:rsidR="009C6F1E" w:rsidRPr="009C6F1E" w:rsidRDefault="009C6F1E" w:rsidP="009C6F1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6DD401DA" w14:textId="7B8DB08D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53E3B080" w14:textId="23532D37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41C10500" w14:textId="06491544" w:rsidR="002E2D2C" w:rsidRDefault="002E2D2C" w:rsidP="00CF43D5">
      <w:pPr>
        <w:rPr>
          <w:rFonts w:cs="Arial"/>
        </w:rPr>
      </w:pPr>
    </w:p>
    <w:p w14:paraId="6CCC4A22" w14:textId="77777777" w:rsidR="0024296E" w:rsidRDefault="002E2D2C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200"/>
        <w:gridCol w:w="1976"/>
        <w:gridCol w:w="225"/>
        <w:gridCol w:w="1053"/>
        <w:gridCol w:w="849"/>
        <w:gridCol w:w="994"/>
        <w:gridCol w:w="1502"/>
        <w:gridCol w:w="1899"/>
        <w:gridCol w:w="2493"/>
      </w:tblGrid>
      <w:tr w:rsidR="0024296E" w:rsidRPr="009C6F1E" w14:paraId="5690565B" w14:textId="77777777" w:rsidTr="0024296E">
        <w:tc>
          <w:tcPr>
            <w:tcW w:w="714" w:type="pct"/>
            <w:shd w:val="clear" w:color="auto" w:fill="004251"/>
            <w:vAlign w:val="center"/>
          </w:tcPr>
          <w:p w14:paraId="7444FD2C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15B186E2" w14:textId="0461BB1F" w:rsidR="0024296E" w:rsidRPr="0024296E" w:rsidRDefault="008E4DEF" w:rsidP="0024296E">
            <w:pPr>
              <w:spacing w:before="200" w:after="200"/>
              <w:rPr>
                <w:b/>
                <w:bCs/>
                <w:color w:val="FFD006"/>
                <w:sz w:val="22"/>
                <w:szCs w:val="22"/>
                <w:u w:val="single"/>
              </w:rPr>
            </w:pPr>
            <w:r>
              <w:rPr>
                <w:bCs/>
                <w:color w:val="000000" w:themeColor="text1"/>
                <w:szCs w:val="18"/>
              </w:rPr>
              <w:t>Continuous Professional Development across the federation.</w:t>
            </w:r>
          </w:p>
        </w:tc>
      </w:tr>
      <w:tr w:rsidR="0024296E" w:rsidRPr="009C6F1E" w14:paraId="7A455734" w14:textId="77777777" w:rsidTr="0024296E">
        <w:tc>
          <w:tcPr>
            <w:tcW w:w="714" w:type="pct"/>
            <w:shd w:val="clear" w:color="auto" w:fill="004251"/>
            <w:vAlign w:val="center"/>
          </w:tcPr>
          <w:p w14:paraId="7A4DBB1F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13107AD7" w14:textId="7AD6361F" w:rsidR="0024296E" w:rsidRPr="0024296E" w:rsidRDefault="00524BC9" w:rsidP="0024296E">
            <w:pPr>
              <w:spacing w:before="200" w:after="200"/>
              <w:rPr>
                <w:b/>
                <w:bCs/>
                <w:color w:val="FFD006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D006"/>
                <w:sz w:val="22"/>
                <w:szCs w:val="22"/>
                <w:u w:val="single"/>
              </w:rPr>
              <w:t>Quality of teaching</w:t>
            </w:r>
          </w:p>
        </w:tc>
      </w:tr>
      <w:tr w:rsidR="008E4DEF" w:rsidRPr="009C6F1E" w14:paraId="5192C606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512F6292" w14:textId="77777777" w:rsidR="008E4DEF" w:rsidRPr="009C6F1E" w:rsidRDefault="008E4DEF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21E55E79" w14:textId="4A108A2E" w:rsidR="008E4DEF" w:rsidRPr="0024296E" w:rsidRDefault="008E4DEF" w:rsidP="0024296E">
            <w:pPr>
              <w:spacing w:before="200" w:after="20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90D0A">
              <w:rPr>
                <w:bCs/>
                <w:sz w:val="22"/>
                <w:szCs w:val="22"/>
              </w:rPr>
              <w:t xml:space="preserve">Improve the quality of teaching </w:t>
            </w:r>
            <w:r>
              <w:rPr>
                <w:bCs/>
                <w:sz w:val="22"/>
                <w:szCs w:val="22"/>
              </w:rPr>
              <w:t>for those vulnerable and disadvantaged pupils.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7765FCDA" w14:textId="3420BEB9" w:rsidR="008E4DEF" w:rsidRPr="00E70557" w:rsidRDefault="008E4DEF" w:rsidP="0024296E">
            <w:pPr>
              <w:jc w:val="left"/>
              <w:rPr>
                <w:sz w:val="22"/>
                <w:szCs w:val="22"/>
              </w:rPr>
            </w:pPr>
            <w:r w:rsidRPr="00E70557">
              <w:rPr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1EA2408B" w14:textId="67417BAC" w:rsidR="008E4DEF" w:rsidRPr="0024296E" w:rsidRDefault="008E4DEF" w:rsidP="0024296E">
            <w:pPr>
              <w:spacing w:before="200" w:after="20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Attainment gap between pupil premium and </w:t>
            </w:r>
            <w:proofErr w:type="spellStart"/>
            <w:r>
              <w:rPr>
                <w:bCs/>
                <w:sz w:val="22"/>
                <w:szCs w:val="22"/>
              </w:rPr>
              <w:t>non pupil</w:t>
            </w:r>
            <w:proofErr w:type="spellEnd"/>
            <w:r>
              <w:rPr>
                <w:bCs/>
                <w:sz w:val="22"/>
                <w:szCs w:val="22"/>
              </w:rPr>
              <w:t xml:space="preserve"> premium is narrowed.</w:t>
            </w:r>
          </w:p>
        </w:tc>
      </w:tr>
      <w:tr w:rsidR="008E4DEF" w:rsidRPr="009C6F1E" w14:paraId="42C08631" w14:textId="77777777" w:rsidTr="0024296E">
        <w:tc>
          <w:tcPr>
            <w:tcW w:w="714" w:type="pct"/>
            <w:shd w:val="clear" w:color="auto" w:fill="004251"/>
            <w:vAlign w:val="center"/>
          </w:tcPr>
          <w:p w14:paraId="06C3B07F" w14:textId="77777777" w:rsidR="008E4DEF" w:rsidRPr="009C6F1E" w:rsidRDefault="008E4DEF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1C56A339" w14:textId="563265BA" w:rsidR="008E4DEF" w:rsidRPr="008E4DEF" w:rsidRDefault="008E4DEF" w:rsidP="0024296E">
            <w:pPr>
              <w:spacing w:before="200" w:after="200"/>
              <w:rPr>
                <w:bCs/>
                <w:sz w:val="22"/>
                <w:szCs w:val="22"/>
              </w:rPr>
            </w:pPr>
            <w:r w:rsidRPr="008E4DEF">
              <w:rPr>
                <w:bCs/>
                <w:sz w:val="22"/>
                <w:szCs w:val="22"/>
              </w:rPr>
              <w:t>SLT</w:t>
            </w:r>
          </w:p>
        </w:tc>
      </w:tr>
      <w:tr w:rsidR="008E4DEF" w:rsidRPr="009C6F1E" w14:paraId="47392926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6EE8E063" w14:textId="77777777" w:rsidR="008E4DEF" w:rsidRPr="009C6F1E" w:rsidRDefault="008E4DEF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76F526F4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35E45B8C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1498DBE9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8E4DEF" w:rsidRPr="009C6F1E" w14:paraId="68D6E64C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76EC76C9" w14:textId="77777777" w:rsidR="008E4DEF" w:rsidRPr="009C6F1E" w:rsidRDefault="008E4DEF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6895F102" w14:textId="77777777" w:rsidR="008E4DEF" w:rsidRDefault="008E4DEF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>
              <w:rPr>
                <w:sz w:val="22"/>
                <w:szCs w:val="22"/>
              </w:rPr>
              <w:t xml:space="preserve"> this intervention in year 1</w:t>
            </w:r>
            <w:r w:rsidRPr="009C6F1E">
              <w:rPr>
                <w:sz w:val="22"/>
                <w:szCs w:val="22"/>
              </w:rPr>
              <w:t>:</w:t>
            </w:r>
          </w:p>
          <w:p w14:paraId="66756E27" w14:textId="77777777" w:rsidR="008E4DEF" w:rsidRDefault="008E4DEF" w:rsidP="008E4DEF">
            <w:pPr>
              <w:jc w:val="left"/>
              <w:rPr>
                <w:bCs/>
                <w:sz w:val="22"/>
                <w:szCs w:val="22"/>
              </w:rPr>
            </w:pPr>
          </w:p>
          <w:p w14:paraId="420FC95A" w14:textId="77777777" w:rsidR="008E4DEF" w:rsidRDefault="008E4DEF" w:rsidP="008E4DEF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Child/group specific CPD throughout the academic year arranged when appropriate.</w:t>
            </w:r>
          </w:p>
          <w:p w14:paraId="570D01CA" w14:textId="77777777" w:rsidR="008E4DEF" w:rsidRDefault="008E4DEF" w:rsidP="008E4DEF">
            <w:pPr>
              <w:jc w:val="left"/>
              <w:rPr>
                <w:bCs/>
                <w:sz w:val="22"/>
                <w:szCs w:val="22"/>
              </w:rPr>
            </w:pPr>
          </w:p>
          <w:p w14:paraId="68A79804" w14:textId="77777777" w:rsidR="008E4DEF" w:rsidRDefault="008E4DEF" w:rsidP="008E4DEF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Staff meetings lead by Pupil Premium Coordinator to increase awareness of updated government documentation.</w:t>
            </w:r>
          </w:p>
          <w:p w14:paraId="3DD262CC" w14:textId="77777777" w:rsidR="008E4DEF" w:rsidRDefault="008E4DEF" w:rsidP="008E4DEF">
            <w:pPr>
              <w:jc w:val="left"/>
              <w:rPr>
                <w:bCs/>
                <w:sz w:val="22"/>
                <w:szCs w:val="22"/>
              </w:rPr>
            </w:pPr>
          </w:p>
          <w:p w14:paraId="033D0774" w14:textId="4B24FC5C" w:rsidR="008E4DEF" w:rsidRPr="008E4DEF" w:rsidRDefault="008E4DEF" w:rsidP="008E4DEF">
            <w:pPr>
              <w:jc w:val="lef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Training identified in Performance Management by Line Manager and implemented throughout the academic year.</w:t>
            </w:r>
          </w:p>
        </w:tc>
        <w:tc>
          <w:tcPr>
            <w:tcW w:w="1429" w:type="pct"/>
            <w:gridSpan w:val="4"/>
          </w:tcPr>
          <w:p w14:paraId="5753A4A9" w14:textId="77777777" w:rsidR="008E4DEF" w:rsidRDefault="008E4DEF" w:rsidP="0024296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How we will implement </w:t>
            </w:r>
            <w:r>
              <w:rPr>
                <w:sz w:val="22"/>
                <w:szCs w:val="22"/>
              </w:rPr>
              <w:t xml:space="preserve">this intervention in year 2 </w:t>
            </w:r>
            <w:r w:rsidRPr="009C6F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year 1 </w:t>
            </w:r>
            <w:r w:rsidRPr="009C6F1E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 xml:space="preserve">light-touch </w:t>
            </w:r>
            <w:r w:rsidRPr="009C6F1E">
              <w:rPr>
                <w:sz w:val="22"/>
                <w:szCs w:val="22"/>
              </w:rPr>
              <w:t>review):</w:t>
            </w:r>
          </w:p>
          <w:p w14:paraId="52CEBC07" w14:textId="77777777" w:rsidR="008E4DEF" w:rsidRPr="009C6F1E" w:rsidRDefault="008E4DEF" w:rsidP="00EA3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601031EE" w14:textId="77777777" w:rsidR="008E4DEF" w:rsidRDefault="008E4DEF" w:rsidP="0024296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>
              <w:rPr>
                <w:sz w:val="22"/>
                <w:szCs w:val="22"/>
              </w:rPr>
              <w:t xml:space="preserve"> this intervention in year 3</w:t>
            </w:r>
            <w:r w:rsidRPr="009C6F1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year 2 light-touch </w:t>
            </w:r>
            <w:r w:rsidRPr="009C6F1E">
              <w:rPr>
                <w:sz w:val="22"/>
                <w:szCs w:val="22"/>
              </w:rPr>
              <w:t>annual review):</w:t>
            </w:r>
          </w:p>
          <w:p w14:paraId="2335FA7A" w14:textId="77777777" w:rsidR="008E4DEF" w:rsidRPr="009C6F1E" w:rsidRDefault="008E4DEF" w:rsidP="00EA3077">
            <w:pPr>
              <w:jc w:val="left"/>
              <w:rPr>
                <w:sz w:val="22"/>
                <w:szCs w:val="22"/>
              </w:rPr>
            </w:pPr>
          </w:p>
        </w:tc>
      </w:tr>
      <w:tr w:rsidR="008E4DEF" w:rsidRPr="009C6F1E" w14:paraId="795BD99C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174DD27F" w14:textId="007FB1BD" w:rsidR="008E4DEF" w:rsidRPr="0024296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1F91004B" w14:textId="77777777" w:rsidR="008E4DEF" w:rsidRDefault="008E4DEF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18C512E4" w14:textId="179EE0A1" w:rsidR="008E4DEF" w:rsidRPr="00D561E2" w:rsidRDefault="008E4DEF" w:rsidP="002429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9" w:type="pct"/>
            <w:gridSpan w:val="4"/>
          </w:tcPr>
          <w:p w14:paraId="5B727FE8" w14:textId="77777777" w:rsidR="008E4DEF" w:rsidRDefault="008E4DEF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52A1C145" w14:textId="451C4EA3" w:rsidR="008E4DEF" w:rsidRPr="009C6F1E" w:rsidRDefault="008E4DEF" w:rsidP="002429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228053AD" w14:textId="77777777" w:rsidR="008E4DEF" w:rsidRDefault="008E4DEF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3016E4FF" w14:textId="6A01AE5C" w:rsidR="008E4DEF" w:rsidRPr="009C6F1E" w:rsidRDefault="008E4DEF" w:rsidP="0024296E">
            <w:pPr>
              <w:rPr>
                <w:sz w:val="22"/>
                <w:szCs w:val="22"/>
              </w:rPr>
            </w:pPr>
          </w:p>
        </w:tc>
      </w:tr>
      <w:tr w:rsidR="008E4DEF" w:rsidRPr="009C6F1E" w14:paraId="56183CBF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53B820BE" w14:textId="77777777" w:rsidR="008E4DEF" w:rsidRPr="0024296E" w:rsidRDefault="008E4DEF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59CD0897" w14:textId="77777777" w:rsidR="008E4DEF" w:rsidRPr="00192460" w:rsidRDefault="008E4DEF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29CF7474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6B359B0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9847CB7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AB17921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580E28C" w14:textId="77777777" w:rsidR="008E4DEF" w:rsidRPr="009C6F1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2C7FDC7E" w14:textId="77777777" w:rsidR="008E4DEF" w:rsidRPr="00192460" w:rsidRDefault="008E4DEF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403A9A20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3379AFD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7419BD3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B03C52C" w14:textId="77777777" w:rsidR="008E4DEF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AAFE273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488F6231" w14:textId="77777777" w:rsidR="008E4DEF" w:rsidRPr="0024296E" w:rsidRDefault="008E4DEF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3FB6DAED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4F989DE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542AE655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0CD33F2C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1F2B2ADE" w14:textId="77777777" w:rsidR="008E4DEF" w:rsidRPr="0024296E" w:rsidRDefault="008E4DEF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8E4DEF" w:rsidRPr="009C6F1E" w14:paraId="6435EE1A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ADF4AC4" w14:textId="77777777" w:rsidR="008E4DEF" w:rsidRPr="009C6F1E" w:rsidRDefault="008E4DEF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63444A2C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4DDE5552" w14:textId="7D616415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EC3F86"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657C14BC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64346A5A" w14:textId="77777777" w:rsidR="008E4DEF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9E0FAC7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7017657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6E25BD79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38E2AAF1" w14:textId="77777777" w:rsidR="008E4DEF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AC4AD40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63757F4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8E4DEF" w:rsidRPr="009C6F1E" w14:paraId="242EEDDC" w14:textId="77777777" w:rsidTr="0024296E">
        <w:tc>
          <w:tcPr>
            <w:tcW w:w="714" w:type="pct"/>
            <w:vMerge/>
            <w:shd w:val="clear" w:color="auto" w:fill="347186"/>
          </w:tcPr>
          <w:p w14:paraId="03FC39B6" w14:textId="77777777" w:rsidR="008E4DEF" w:rsidRPr="009C6F1E" w:rsidRDefault="008E4DEF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7E3E9B8F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42E2AFBD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D7CC9FE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075DD112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52A5111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3374D57D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8E4DEF" w:rsidRPr="009C6F1E" w14:paraId="1160DFA0" w14:textId="77777777" w:rsidTr="0024296E">
        <w:tc>
          <w:tcPr>
            <w:tcW w:w="714" w:type="pct"/>
            <w:vMerge/>
            <w:shd w:val="clear" w:color="auto" w:fill="347186"/>
          </w:tcPr>
          <w:p w14:paraId="3767D568" w14:textId="77777777" w:rsidR="008E4DEF" w:rsidRPr="009C6F1E" w:rsidRDefault="008E4DEF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2572D15F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40D6F424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8E4DEF" w:rsidRPr="009C6F1E" w14:paraId="479DBB69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4C6FA8BC" w14:textId="77777777" w:rsidR="008E4DEF" w:rsidRPr="009C6F1E" w:rsidRDefault="008E4DEF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72A90332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58EC7944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2F51952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0FD91CAF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72E1A67" w14:textId="77777777" w:rsidR="008E4DEF" w:rsidRPr="009C6F1E" w:rsidRDefault="008E4DEF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5EB7AE11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8E4DEF" w:rsidRPr="009C6F1E" w14:paraId="1DCF58B8" w14:textId="77777777" w:rsidTr="0024296E">
        <w:tc>
          <w:tcPr>
            <w:tcW w:w="714" w:type="pct"/>
            <w:vMerge/>
            <w:shd w:val="clear" w:color="auto" w:fill="347186"/>
          </w:tcPr>
          <w:p w14:paraId="092B80F1" w14:textId="77777777" w:rsidR="008E4DEF" w:rsidRPr="009C6F1E" w:rsidRDefault="008E4DEF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64FE5033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0B57ACA4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D86C993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6EFD681" w14:textId="77777777" w:rsidR="008E4DEF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A05055A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DAB3C83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0D3D603C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06A18DD4" w14:textId="77777777" w:rsidR="008E4DEF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7ECAC20C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38343DD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8E4DEF" w:rsidRPr="009C6F1E" w14:paraId="23D5770E" w14:textId="77777777" w:rsidTr="0024296E">
        <w:tc>
          <w:tcPr>
            <w:tcW w:w="714" w:type="pct"/>
            <w:vMerge/>
            <w:shd w:val="clear" w:color="auto" w:fill="347186"/>
          </w:tcPr>
          <w:p w14:paraId="368B3FBE" w14:textId="77777777" w:rsidR="008E4DEF" w:rsidRPr="009C6F1E" w:rsidRDefault="008E4DEF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17193F02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3E92E12E" w14:textId="77777777" w:rsidR="008E4DEF" w:rsidRPr="009C6F1E" w:rsidRDefault="008E4DEF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074AD46B" w14:textId="660F7C1C" w:rsidR="0024296E" w:rsidRDefault="0024296E">
      <w:pPr>
        <w:spacing w:before="0" w:after="200"/>
        <w:jc w:val="left"/>
        <w:rPr>
          <w:rFonts w:cs="Arial"/>
        </w:rPr>
      </w:pPr>
    </w:p>
    <w:p w14:paraId="7B193860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p w14:paraId="097EB7C0" w14:textId="6B962D37" w:rsidR="0024296E" w:rsidRDefault="0024296E">
      <w:pPr>
        <w:spacing w:before="0" w:after="200"/>
        <w:jc w:val="left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200"/>
        <w:gridCol w:w="1976"/>
        <w:gridCol w:w="225"/>
        <w:gridCol w:w="1053"/>
        <w:gridCol w:w="849"/>
        <w:gridCol w:w="994"/>
        <w:gridCol w:w="1502"/>
        <w:gridCol w:w="1899"/>
        <w:gridCol w:w="2493"/>
      </w:tblGrid>
      <w:tr w:rsidR="0024296E" w:rsidRPr="009C6F1E" w14:paraId="6B81ED39" w14:textId="77777777" w:rsidTr="0024296E">
        <w:tc>
          <w:tcPr>
            <w:tcW w:w="714" w:type="pct"/>
            <w:shd w:val="clear" w:color="auto" w:fill="004251"/>
            <w:vAlign w:val="center"/>
          </w:tcPr>
          <w:p w14:paraId="5D5BF0ED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Intervention:</w:t>
            </w:r>
          </w:p>
        </w:tc>
        <w:tc>
          <w:tcPr>
            <w:tcW w:w="4286" w:type="pct"/>
            <w:gridSpan w:val="9"/>
          </w:tcPr>
          <w:p w14:paraId="7F92AC53" w14:textId="77777777" w:rsidR="006701F9" w:rsidRPr="00991031" w:rsidRDefault="006701F9" w:rsidP="006701F9">
            <w:pPr>
              <w:pStyle w:val="Header"/>
              <w:numPr>
                <w:ilvl w:val="0"/>
                <w:numId w:val="24"/>
              </w:numPr>
              <w:rPr>
                <w:bCs/>
                <w:szCs w:val="18"/>
              </w:rPr>
            </w:pPr>
            <w:r w:rsidRPr="00991031">
              <w:rPr>
                <w:bCs/>
                <w:color w:val="000000" w:themeColor="text1"/>
                <w:szCs w:val="18"/>
              </w:rPr>
              <w:t>Structured interventions</w:t>
            </w:r>
            <w:r>
              <w:rPr>
                <w:bCs/>
                <w:color w:val="000000" w:themeColor="text1"/>
                <w:szCs w:val="18"/>
              </w:rPr>
              <w:t>: for maths and English skills with Social, Emotional and mental health where required.</w:t>
            </w:r>
          </w:p>
          <w:p w14:paraId="38E9E41D" w14:textId="77777777" w:rsidR="006701F9" w:rsidRPr="00991031" w:rsidRDefault="006701F9" w:rsidP="006701F9">
            <w:pPr>
              <w:pStyle w:val="Header"/>
              <w:numPr>
                <w:ilvl w:val="0"/>
                <w:numId w:val="24"/>
              </w:numPr>
              <w:rPr>
                <w:bCs/>
                <w:szCs w:val="18"/>
              </w:rPr>
            </w:pPr>
            <w:r w:rsidRPr="00991031">
              <w:rPr>
                <w:bCs/>
                <w:color w:val="000000" w:themeColor="text1"/>
                <w:szCs w:val="18"/>
              </w:rPr>
              <w:t>Small group tuition</w:t>
            </w:r>
            <w:r>
              <w:rPr>
                <w:bCs/>
                <w:color w:val="000000" w:themeColor="text1"/>
                <w:szCs w:val="18"/>
              </w:rPr>
              <w:t>: Introducing t</w:t>
            </w:r>
            <w:r w:rsidRPr="00A13BE2">
              <w:rPr>
                <w:bCs/>
                <w:color w:val="000000" w:themeColor="text1"/>
                <w:szCs w:val="18"/>
              </w:rPr>
              <w:t>arget</w:t>
            </w:r>
            <w:r>
              <w:rPr>
                <w:bCs/>
                <w:color w:val="000000" w:themeColor="text1"/>
                <w:szCs w:val="18"/>
              </w:rPr>
              <w:t>ed</w:t>
            </w:r>
            <w:r w:rsidRPr="00A13BE2">
              <w:rPr>
                <w:bCs/>
                <w:color w:val="000000" w:themeColor="text1"/>
                <w:szCs w:val="18"/>
              </w:rPr>
              <w:t xml:space="preserve"> English and maths teaching for pupils who are below age-related expectations</w:t>
            </w:r>
          </w:p>
          <w:p w14:paraId="2B36AC6F" w14:textId="079C69B1" w:rsidR="0024296E" w:rsidRPr="006701F9" w:rsidRDefault="006701F9" w:rsidP="006701F9">
            <w:pPr>
              <w:pStyle w:val="Header"/>
              <w:numPr>
                <w:ilvl w:val="0"/>
                <w:numId w:val="24"/>
              </w:numPr>
              <w:rPr>
                <w:bCs/>
                <w:szCs w:val="18"/>
              </w:rPr>
            </w:pPr>
            <w:r w:rsidRPr="00991031">
              <w:rPr>
                <w:bCs/>
                <w:color w:val="000000" w:themeColor="text1"/>
                <w:szCs w:val="18"/>
              </w:rPr>
              <w:t>One-to-one support</w:t>
            </w:r>
            <w:r>
              <w:rPr>
                <w:bCs/>
                <w:color w:val="000000" w:themeColor="text1"/>
                <w:szCs w:val="18"/>
              </w:rPr>
              <w:t xml:space="preserve"> for disadvantaged pupils: </w:t>
            </w:r>
            <w:r w:rsidRPr="00A13BE2">
              <w:rPr>
                <w:bCs/>
                <w:color w:val="000000" w:themeColor="text1"/>
                <w:szCs w:val="18"/>
              </w:rPr>
              <w:t>Creating additional teaching and</w:t>
            </w:r>
            <w:r>
              <w:rPr>
                <w:bCs/>
                <w:color w:val="000000" w:themeColor="text1"/>
                <w:szCs w:val="18"/>
              </w:rPr>
              <w:t xml:space="preserve"> learning opportunities using </w:t>
            </w:r>
            <w:proofErr w:type="spellStart"/>
            <w:r>
              <w:rPr>
                <w:bCs/>
                <w:color w:val="000000" w:themeColor="text1"/>
                <w:szCs w:val="18"/>
              </w:rPr>
              <w:t>SENDCo</w:t>
            </w:r>
            <w:proofErr w:type="spellEnd"/>
            <w:r>
              <w:rPr>
                <w:bCs/>
                <w:color w:val="000000" w:themeColor="text1"/>
                <w:szCs w:val="18"/>
              </w:rPr>
              <w:t>.</w:t>
            </w:r>
          </w:p>
        </w:tc>
      </w:tr>
      <w:tr w:rsidR="0024296E" w:rsidRPr="009C6F1E" w14:paraId="1AB026E5" w14:textId="77777777" w:rsidTr="0024296E">
        <w:tc>
          <w:tcPr>
            <w:tcW w:w="714" w:type="pct"/>
            <w:shd w:val="clear" w:color="auto" w:fill="004251"/>
            <w:vAlign w:val="center"/>
          </w:tcPr>
          <w:p w14:paraId="727687CF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484503D0" w14:textId="45D7D50E" w:rsidR="0024296E" w:rsidRPr="0024296E" w:rsidRDefault="0024296E" w:rsidP="0024296E">
            <w:pPr>
              <w:spacing w:before="200" w:after="200"/>
              <w:rPr>
                <w:b/>
                <w:bCs/>
                <w:color w:val="FFD006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D006"/>
                <w:sz w:val="22"/>
                <w:szCs w:val="22"/>
                <w:u w:val="single"/>
              </w:rPr>
              <w:t>Targeted academic support</w:t>
            </w:r>
          </w:p>
        </w:tc>
      </w:tr>
      <w:tr w:rsidR="0024296E" w:rsidRPr="009C6F1E" w14:paraId="6276E527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72D0DAFB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516DCD70" w14:textId="51E24195" w:rsidR="0024296E" w:rsidRPr="006701F9" w:rsidRDefault="006701F9" w:rsidP="0024296E">
            <w:pPr>
              <w:spacing w:before="200" w:after="20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Children make progress from individual starting points.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7C6F1E12" w14:textId="77777777" w:rsidR="0024296E" w:rsidRPr="00E70557" w:rsidRDefault="0024296E" w:rsidP="0024296E">
            <w:pPr>
              <w:jc w:val="left"/>
              <w:rPr>
                <w:sz w:val="22"/>
                <w:szCs w:val="22"/>
              </w:rPr>
            </w:pPr>
            <w:r w:rsidRPr="00E70557">
              <w:rPr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4DE19751" w14:textId="030D007C" w:rsidR="0024296E" w:rsidRPr="0024296E" w:rsidRDefault="006701F9" w:rsidP="0024296E">
            <w:pPr>
              <w:spacing w:before="200" w:after="20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Meet end of year targets.</w:t>
            </w:r>
          </w:p>
        </w:tc>
      </w:tr>
      <w:tr w:rsidR="0024296E" w:rsidRPr="009C6F1E" w14:paraId="42C677CE" w14:textId="77777777" w:rsidTr="0024296E">
        <w:tc>
          <w:tcPr>
            <w:tcW w:w="714" w:type="pct"/>
            <w:shd w:val="clear" w:color="auto" w:fill="004251"/>
            <w:vAlign w:val="center"/>
          </w:tcPr>
          <w:p w14:paraId="0641E422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28D9B376" w14:textId="77777777" w:rsidR="0024296E" w:rsidRPr="0024296E" w:rsidRDefault="0024296E" w:rsidP="0024296E">
            <w:pPr>
              <w:spacing w:before="200" w:after="20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4296E" w:rsidRPr="009C6F1E" w14:paraId="6B508C6A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52EEEDAE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33210FDE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166A817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0EF515C3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5B4028" w:rsidRPr="009C6F1E" w14:paraId="6482BC5B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0C27AFA7" w14:textId="77777777" w:rsidR="005B4028" w:rsidRPr="009C6F1E" w:rsidRDefault="005B4028" w:rsidP="005B4028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161929A1" w14:textId="77777777" w:rsidR="005B4028" w:rsidRDefault="005B4028" w:rsidP="005B4028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>
              <w:rPr>
                <w:sz w:val="22"/>
                <w:szCs w:val="22"/>
              </w:rPr>
              <w:t xml:space="preserve"> this intervention in year 1</w:t>
            </w:r>
            <w:r w:rsidRPr="009C6F1E">
              <w:rPr>
                <w:sz w:val="22"/>
                <w:szCs w:val="22"/>
              </w:rPr>
              <w:t>:</w:t>
            </w:r>
          </w:p>
          <w:p w14:paraId="1D96002F" w14:textId="1F706B1A" w:rsidR="005B4028" w:rsidRPr="006701F9" w:rsidRDefault="006701F9" w:rsidP="006701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color w:val="347186"/>
                <w:sz w:val="22"/>
                <w:szCs w:val="22"/>
              </w:rPr>
              <w:t xml:space="preserve">Pupil Premium Coordinator timetables specific interventions focused mainly on English and Mathematics, also focusing SEMH and wrap around care. </w:t>
            </w:r>
          </w:p>
        </w:tc>
        <w:tc>
          <w:tcPr>
            <w:tcW w:w="1429" w:type="pct"/>
            <w:gridSpan w:val="4"/>
          </w:tcPr>
          <w:p w14:paraId="6BDAF5BD" w14:textId="77777777" w:rsidR="005B4028" w:rsidRDefault="005B4028" w:rsidP="005B4028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How we will implement </w:t>
            </w:r>
            <w:r>
              <w:rPr>
                <w:sz w:val="22"/>
                <w:szCs w:val="22"/>
              </w:rPr>
              <w:t xml:space="preserve">this intervention in year 2 </w:t>
            </w:r>
            <w:r w:rsidRPr="009C6F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year 1 </w:t>
            </w:r>
            <w:r w:rsidRPr="009C6F1E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 xml:space="preserve">light-touch </w:t>
            </w:r>
            <w:r w:rsidRPr="009C6F1E">
              <w:rPr>
                <w:sz w:val="22"/>
                <w:szCs w:val="22"/>
              </w:rPr>
              <w:t>review):</w:t>
            </w:r>
          </w:p>
          <w:p w14:paraId="1EFE98AE" w14:textId="77777777" w:rsidR="005B4028" w:rsidRPr="009C6F1E" w:rsidRDefault="005B4028" w:rsidP="00EA3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391FF9F3" w14:textId="77777777" w:rsidR="005B4028" w:rsidRDefault="005B4028" w:rsidP="005B4028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>
              <w:rPr>
                <w:sz w:val="22"/>
                <w:szCs w:val="22"/>
              </w:rPr>
              <w:t xml:space="preserve"> this intervention in year 3</w:t>
            </w:r>
            <w:r w:rsidRPr="009C6F1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year 2 light-touch </w:t>
            </w:r>
            <w:r w:rsidRPr="009C6F1E">
              <w:rPr>
                <w:sz w:val="22"/>
                <w:szCs w:val="22"/>
              </w:rPr>
              <w:t>annual review):</w:t>
            </w:r>
          </w:p>
          <w:p w14:paraId="48A1067D" w14:textId="77777777" w:rsidR="005B4028" w:rsidRPr="009C6F1E" w:rsidRDefault="005B4028" w:rsidP="00EA3077">
            <w:pPr>
              <w:jc w:val="left"/>
              <w:rPr>
                <w:sz w:val="22"/>
                <w:szCs w:val="22"/>
              </w:rPr>
            </w:pPr>
          </w:p>
        </w:tc>
      </w:tr>
      <w:tr w:rsidR="005B4028" w:rsidRPr="009C6F1E" w14:paraId="356FCE35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0680CBD3" w14:textId="77777777" w:rsidR="005B4028" w:rsidRPr="0024296E" w:rsidRDefault="005B4028" w:rsidP="005B4028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16180C30" w14:textId="77777777" w:rsidR="005B4028" w:rsidRDefault="005B4028" w:rsidP="005B402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33983932" w14:textId="5D8AF5E2" w:rsidR="005B4028" w:rsidRPr="00D561E2" w:rsidRDefault="005B4028" w:rsidP="005B4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9" w:type="pct"/>
            <w:gridSpan w:val="4"/>
          </w:tcPr>
          <w:p w14:paraId="07176723" w14:textId="77777777" w:rsidR="005B4028" w:rsidRDefault="005B4028" w:rsidP="005B4028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628DABDC" w14:textId="3707BF9C" w:rsidR="005B4028" w:rsidRPr="009C6F1E" w:rsidRDefault="005B4028" w:rsidP="005B40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7619825F" w14:textId="77777777" w:rsidR="005B4028" w:rsidRDefault="005B4028" w:rsidP="005B402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594E8C78" w14:textId="3F4E9BB7" w:rsidR="005B4028" w:rsidRPr="009C6F1E" w:rsidRDefault="005B4028" w:rsidP="005B4028">
            <w:pPr>
              <w:rPr>
                <w:sz w:val="22"/>
                <w:szCs w:val="22"/>
              </w:rPr>
            </w:pPr>
          </w:p>
        </w:tc>
      </w:tr>
      <w:tr w:rsidR="0024296E" w:rsidRPr="009C6F1E" w14:paraId="4E4B5AAA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1D468F56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36F5A60B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08EFB8A2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F8AE103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DE718D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5B0C78B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9E41EB9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4F7B8961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515236D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A0E9F7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E08450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E4D5BF0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8CCCEC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04261BF7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450B7A8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468051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0598868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476E630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70D8F56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167D966D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3BE21B7A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6C44EA7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2AE4AF14" w14:textId="3E1A7EF4" w:rsidR="0024296E" w:rsidRPr="009C6F1E" w:rsidRDefault="0024296E" w:rsidP="00BA6191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A6191">
              <w:rPr>
                <w:sz w:val="22"/>
                <w:szCs w:val="22"/>
              </w:rPr>
              <w:t>25000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21D5AE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5B33F739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73A03A3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4E6617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536EF0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577C8142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E77B74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1BF647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6F5C8ECC" w14:textId="77777777" w:rsidTr="0024296E">
        <w:tc>
          <w:tcPr>
            <w:tcW w:w="714" w:type="pct"/>
            <w:vMerge/>
            <w:shd w:val="clear" w:color="auto" w:fill="347186"/>
          </w:tcPr>
          <w:p w14:paraId="6B0096BB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10A37A8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6AA1150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40B01138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3D91783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0BDE53F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601060C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585F6BC5" w14:textId="77777777" w:rsidTr="0024296E">
        <w:tc>
          <w:tcPr>
            <w:tcW w:w="714" w:type="pct"/>
            <w:vMerge/>
            <w:shd w:val="clear" w:color="auto" w:fill="347186"/>
          </w:tcPr>
          <w:p w14:paraId="4CDF1B46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26262D5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21A52A9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05FC0CE3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5FB65602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710E64B6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503AA01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41C638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00221AD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76C6EF7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55E9D0C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04F86ADA" w14:textId="77777777" w:rsidTr="0024296E">
        <w:tc>
          <w:tcPr>
            <w:tcW w:w="714" w:type="pct"/>
            <w:vMerge/>
            <w:shd w:val="clear" w:color="auto" w:fill="347186"/>
          </w:tcPr>
          <w:p w14:paraId="31870DB9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252640F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4796CD2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F49E67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511BB9D3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FB4B5E2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2B27DF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54971E8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447C25C5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9C1DDE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D6A602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29B3FE35" w14:textId="77777777" w:rsidTr="0024296E">
        <w:tc>
          <w:tcPr>
            <w:tcW w:w="714" w:type="pct"/>
            <w:vMerge/>
            <w:shd w:val="clear" w:color="auto" w:fill="347186"/>
          </w:tcPr>
          <w:p w14:paraId="4927F221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1C80BA0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116D507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11C42DAC" w14:textId="06829D1C" w:rsidR="0024296E" w:rsidRDefault="0024296E">
      <w:pPr>
        <w:spacing w:before="0" w:after="200"/>
        <w:jc w:val="left"/>
        <w:rPr>
          <w:rFonts w:cs="Arial"/>
        </w:rPr>
      </w:pPr>
    </w:p>
    <w:p w14:paraId="5BD1F278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200"/>
        <w:gridCol w:w="1976"/>
        <w:gridCol w:w="225"/>
        <w:gridCol w:w="1053"/>
        <w:gridCol w:w="849"/>
        <w:gridCol w:w="994"/>
        <w:gridCol w:w="1502"/>
        <w:gridCol w:w="1899"/>
        <w:gridCol w:w="2493"/>
      </w:tblGrid>
      <w:tr w:rsidR="0024296E" w:rsidRPr="009C6F1E" w14:paraId="097EDDE4" w14:textId="77777777" w:rsidTr="0024296E">
        <w:tc>
          <w:tcPr>
            <w:tcW w:w="714" w:type="pct"/>
            <w:shd w:val="clear" w:color="auto" w:fill="004251"/>
            <w:vAlign w:val="center"/>
          </w:tcPr>
          <w:p w14:paraId="67989170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1F1144D2" w14:textId="77777777" w:rsidR="0094574F" w:rsidRPr="00991031" w:rsidRDefault="0094574F" w:rsidP="0094574F">
            <w:pPr>
              <w:pStyle w:val="Header"/>
              <w:numPr>
                <w:ilvl w:val="0"/>
                <w:numId w:val="25"/>
              </w:numPr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Readiness to learn: Fruit is provided for all children for snacks when required by the children.</w:t>
            </w:r>
          </w:p>
          <w:p w14:paraId="631075AA" w14:textId="39D64886" w:rsidR="0024296E" w:rsidRPr="0094574F" w:rsidRDefault="0094574F" w:rsidP="0094574F">
            <w:pPr>
              <w:pStyle w:val="Header"/>
              <w:numPr>
                <w:ilvl w:val="0"/>
                <w:numId w:val="25"/>
              </w:numPr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A</w:t>
            </w:r>
            <w:r w:rsidRPr="00991031">
              <w:rPr>
                <w:bCs/>
                <w:color w:val="000000" w:themeColor="text1"/>
                <w:szCs w:val="18"/>
              </w:rPr>
              <w:t>ttendance</w:t>
            </w:r>
            <w:r>
              <w:rPr>
                <w:bCs/>
                <w:color w:val="000000" w:themeColor="text1"/>
                <w:szCs w:val="18"/>
              </w:rPr>
              <w:t xml:space="preserve">: </w:t>
            </w:r>
            <w:r w:rsidRPr="007D638F">
              <w:rPr>
                <w:bCs/>
                <w:color w:val="000000" w:themeColor="text1"/>
                <w:szCs w:val="18"/>
              </w:rPr>
              <w:t xml:space="preserve">Use of an Education Welfare Officer (EWO) </w:t>
            </w:r>
            <w:r>
              <w:rPr>
                <w:bCs/>
                <w:color w:val="000000" w:themeColor="text1"/>
                <w:szCs w:val="18"/>
              </w:rPr>
              <w:t>as required. Purchasing resources and incentive to encourage improved attendance.</w:t>
            </w:r>
          </w:p>
        </w:tc>
      </w:tr>
      <w:tr w:rsidR="0024296E" w:rsidRPr="009C6F1E" w14:paraId="1AD0C3BC" w14:textId="77777777" w:rsidTr="0024296E">
        <w:tc>
          <w:tcPr>
            <w:tcW w:w="714" w:type="pct"/>
            <w:shd w:val="clear" w:color="auto" w:fill="004251"/>
            <w:vAlign w:val="center"/>
          </w:tcPr>
          <w:p w14:paraId="63133337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72A0B871" w14:textId="63778B34" w:rsidR="0024296E" w:rsidRPr="0024296E" w:rsidRDefault="00252E7E" w:rsidP="0024296E">
            <w:pPr>
              <w:spacing w:before="200" w:after="200"/>
              <w:rPr>
                <w:b/>
                <w:bCs/>
                <w:color w:val="FFD006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D006"/>
                <w:sz w:val="22"/>
                <w:szCs w:val="22"/>
                <w:u w:val="single"/>
              </w:rPr>
              <w:t>Wider strategies</w:t>
            </w:r>
          </w:p>
        </w:tc>
      </w:tr>
      <w:tr w:rsidR="0024296E" w:rsidRPr="009C6F1E" w14:paraId="275FDF94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55F1C05D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366D8B0C" w14:textId="7B0C8AB8" w:rsidR="0024296E" w:rsidRPr="00F56F5D" w:rsidRDefault="00F56F5D" w:rsidP="0024296E">
            <w:pPr>
              <w:spacing w:before="200" w:after="200"/>
              <w:jc w:val="left"/>
              <w:rPr>
                <w:bCs/>
                <w:sz w:val="22"/>
                <w:szCs w:val="22"/>
              </w:rPr>
            </w:pPr>
            <w:r w:rsidRPr="00F56F5D">
              <w:rPr>
                <w:bCs/>
                <w:sz w:val="22"/>
                <w:szCs w:val="22"/>
              </w:rPr>
              <w:t xml:space="preserve">Pupils are more receptive to learning and have improved </w:t>
            </w:r>
            <w:r w:rsidR="00C00D43" w:rsidRPr="00F56F5D">
              <w:rPr>
                <w:bCs/>
                <w:sz w:val="22"/>
                <w:szCs w:val="22"/>
              </w:rPr>
              <w:t>focus</w:t>
            </w:r>
            <w:r w:rsidRPr="00F56F5D">
              <w:rPr>
                <w:bCs/>
                <w:sz w:val="22"/>
                <w:szCs w:val="22"/>
              </w:rPr>
              <w:t xml:space="preserve"> and concentration as they are in school and ready to learn.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237C2E57" w14:textId="77777777" w:rsidR="0024296E" w:rsidRPr="00E70557" w:rsidRDefault="0024296E" w:rsidP="0024296E">
            <w:pPr>
              <w:jc w:val="left"/>
              <w:rPr>
                <w:sz w:val="22"/>
                <w:szCs w:val="22"/>
              </w:rPr>
            </w:pPr>
            <w:r w:rsidRPr="00E70557">
              <w:rPr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6E0A976B" w14:textId="6C9AB49B" w:rsidR="0024296E" w:rsidRPr="0024296E" w:rsidRDefault="00F56F5D" w:rsidP="0024296E">
            <w:pPr>
              <w:spacing w:before="200" w:after="20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Meet end of year targets developing the whole child.</w:t>
            </w:r>
          </w:p>
        </w:tc>
      </w:tr>
      <w:tr w:rsidR="0024296E" w:rsidRPr="009C6F1E" w14:paraId="0D4825B3" w14:textId="77777777" w:rsidTr="0024296E">
        <w:tc>
          <w:tcPr>
            <w:tcW w:w="714" w:type="pct"/>
            <w:shd w:val="clear" w:color="auto" w:fill="004251"/>
            <w:vAlign w:val="center"/>
          </w:tcPr>
          <w:p w14:paraId="24110669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3C2FB539" w14:textId="77777777" w:rsidR="0024296E" w:rsidRPr="0024296E" w:rsidRDefault="0024296E" w:rsidP="0024296E">
            <w:pPr>
              <w:spacing w:before="200" w:after="20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4296E" w:rsidRPr="009C6F1E" w14:paraId="46AE0D80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23DAFD46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23333794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7EE7F7B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2417F8BC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24296E" w:rsidRPr="009C6F1E" w14:paraId="239A3696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1E48D319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6AD739A0" w14:textId="77777777" w:rsidR="0024296E" w:rsidRDefault="0024296E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>
              <w:rPr>
                <w:sz w:val="22"/>
                <w:szCs w:val="22"/>
              </w:rPr>
              <w:t xml:space="preserve"> this intervention in year 1</w:t>
            </w:r>
            <w:r w:rsidRPr="009C6F1E">
              <w:rPr>
                <w:sz w:val="22"/>
                <w:szCs w:val="22"/>
              </w:rPr>
              <w:t>:</w:t>
            </w:r>
          </w:p>
          <w:p w14:paraId="060F8FC1" w14:textId="77777777" w:rsidR="0024296E" w:rsidRDefault="0024296E" w:rsidP="00F56F5D">
            <w:pPr>
              <w:jc w:val="left"/>
              <w:rPr>
                <w:bCs/>
                <w:sz w:val="22"/>
                <w:szCs w:val="22"/>
              </w:rPr>
            </w:pPr>
          </w:p>
          <w:p w14:paraId="1E0A92E4" w14:textId="77777777" w:rsidR="00F56F5D" w:rsidRDefault="00F56F5D" w:rsidP="00F56F5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Buy fruit and juice to avoid children being hungry throughout the day.</w:t>
            </w:r>
          </w:p>
          <w:p w14:paraId="451DC7FF" w14:textId="77777777" w:rsidR="00F56F5D" w:rsidRDefault="00F56F5D" w:rsidP="00F56F5D">
            <w:pPr>
              <w:jc w:val="left"/>
              <w:rPr>
                <w:bCs/>
                <w:sz w:val="22"/>
                <w:szCs w:val="22"/>
              </w:rPr>
            </w:pPr>
          </w:p>
          <w:p w14:paraId="228E515D" w14:textId="77777777" w:rsidR="00F56F5D" w:rsidRDefault="00F56F5D" w:rsidP="00F56F5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Staff to meet and greet children to start the day.</w:t>
            </w:r>
          </w:p>
          <w:p w14:paraId="0C079A6D" w14:textId="77777777" w:rsidR="00F56F5D" w:rsidRDefault="00F56F5D" w:rsidP="00F56F5D">
            <w:pPr>
              <w:jc w:val="left"/>
              <w:rPr>
                <w:bCs/>
                <w:sz w:val="22"/>
                <w:szCs w:val="22"/>
              </w:rPr>
            </w:pPr>
          </w:p>
          <w:p w14:paraId="3AC9807C" w14:textId="77777777" w:rsidR="00F56F5D" w:rsidRDefault="00F56F5D" w:rsidP="00F56F5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Buy resources to reward children with good attendance. </w:t>
            </w:r>
          </w:p>
          <w:p w14:paraId="5F52F494" w14:textId="77777777" w:rsidR="00F56F5D" w:rsidRDefault="00F56F5D" w:rsidP="00F56F5D">
            <w:pPr>
              <w:jc w:val="left"/>
              <w:rPr>
                <w:bCs/>
                <w:sz w:val="22"/>
                <w:szCs w:val="22"/>
              </w:rPr>
            </w:pPr>
          </w:p>
          <w:p w14:paraId="41003A81" w14:textId="0C7DC250" w:rsidR="00F56F5D" w:rsidRPr="00F56F5D" w:rsidRDefault="00F56F5D" w:rsidP="00F56F5D">
            <w:pPr>
              <w:jc w:val="lef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EWO as necessary.</w:t>
            </w:r>
          </w:p>
        </w:tc>
        <w:tc>
          <w:tcPr>
            <w:tcW w:w="1429" w:type="pct"/>
            <w:gridSpan w:val="4"/>
          </w:tcPr>
          <w:p w14:paraId="40D149EB" w14:textId="77777777" w:rsidR="0024296E" w:rsidRDefault="0024296E" w:rsidP="0024296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How we will implement </w:t>
            </w:r>
            <w:r>
              <w:rPr>
                <w:sz w:val="22"/>
                <w:szCs w:val="22"/>
              </w:rPr>
              <w:t xml:space="preserve">this intervention in year 2 </w:t>
            </w:r>
            <w:r w:rsidRPr="009C6F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year 1 </w:t>
            </w:r>
            <w:r w:rsidRPr="009C6F1E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 xml:space="preserve">light-touch </w:t>
            </w:r>
            <w:r w:rsidRPr="009C6F1E">
              <w:rPr>
                <w:sz w:val="22"/>
                <w:szCs w:val="22"/>
              </w:rPr>
              <w:t>review):</w:t>
            </w:r>
          </w:p>
          <w:p w14:paraId="7D061EC0" w14:textId="77777777" w:rsidR="0024296E" w:rsidRPr="009C6F1E" w:rsidRDefault="0024296E" w:rsidP="00EA3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6ED6A80E" w14:textId="77777777" w:rsidR="0024296E" w:rsidRDefault="0024296E" w:rsidP="0024296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How we will implement</w:t>
            </w:r>
            <w:r>
              <w:rPr>
                <w:sz w:val="22"/>
                <w:szCs w:val="22"/>
              </w:rPr>
              <w:t xml:space="preserve"> this intervention in year 3</w:t>
            </w:r>
            <w:r w:rsidRPr="009C6F1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year 2 light-touch </w:t>
            </w:r>
            <w:r w:rsidRPr="009C6F1E">
              <w:rPr>
                <w:sz w:val="22"/>
                <w:szCs w:val="22"/>
              </w:rPr>
              <w:t>annual review):</w:t>
            </w:r>
          </w:p>
          <w:p w14:paraId="02161116" w14:textId="77777777" w:rsidR="0024296E" w:rsidRPr="009C6F1E" w:rsidRDefault="0024296E" w:rsidP="00EA3077">
            <w:pPr>
              <w:jc w:val="left"/>
              <w:rPr>
                <w:sz w:val="22"/>
                <w:szCs w:val="22"/>
              </w:rPr>
            </w:pPr>
          </w:p>
        </w:tc>
      </w:tr>
      <w:tr w:rsidR="0024296E" w:rsidRPr="009C6F1E" w14:paraId="56581C8D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6E2CD7CE" w14:textId="48D41A73" w:rsidR="0024296E" w:rsidRPr="0024296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495FFD56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02869DB1" w14:textId="45B87F5E" w:rsidR="0024296E" w:rsidRPr="00D561E2" w:rsidRDefault="0024296E" w:rsidP="002429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9" w:type="pct"/>
            <w:gridSpan w:val="4"/>
          </w:tcPr>
          <w:p w14:paraId="015C53CA" w14:textId="77777777" w:rsidR="0024296E" w:rsidRDefault="0024296E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4E07209C" w14:textId="51FB025A" w:rsidR="0024296E" w:rsidRPr="009C6F1E" w:rsidRDefault="0024296E" w:rsidP="002429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027AE24D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3F485E58" w14:textId="2596224B" w:rsidR="0024296E" w:rsidRPr="009C6F1E" w:rsidRDefault="0024296E" w:rsidP="0024296E">
            <w:pPr>
              <w:rPr>
                <w:sz w:val="22"/>
                <w:szCs w:val="22"/>
              </w:rPr>
            </w:pPr>
          </w:p>
        </w:tc>
      </w:tr>
      <w:tr w:rsidR="0024296E" w:rsidRPr="009C6F1E" w14:paraId="4CB372C4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0D4C421D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419113CC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75B15AF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FFB981D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207570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EA317E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1D93A75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65A47B29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7215B9DF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6888205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DF0C3C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893411F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436131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0987F2A4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3F742C6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6D87FC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1AAAC1A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23D3B44E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0BB8D44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65DB478E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1B46A90A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00CFA453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38DFC6C4" w14:textId="47B087D8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EC3F86">
              <w:rPr>
                <w:sz w:val="22"/>
                <w:szCs w:val="22"/>
              </w:rPr>
              <w:t>1000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BD9130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51BC30A9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BA3AEE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17A39F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90DEB2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46041DA0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6F15BC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45A437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4153510C" w14:textId="77777777" w:rsidTr="0024296E">
        <w:tc>
          <w:tcPr>
            <w:tcW w:w="714" w:type="pct"/>
            <w:vMerge/>
            <w:shd w:val="clear" w:color="auto" w:fill="347186"/>
          </w:tcPr>
          <w:p w14:paraId="2855012F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601B1F72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0B923B2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3F4C9E6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60F237E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757470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7A4B99A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235AD331" w14:textId="77777777" w:rsidTr="0024296E">
        <w:tc>
          <w:tcPr>
            <w:tcW w:w="714" w:type="pct"/>
            <w:vMerge/>
            <w:shd w:val="clear" w:color="auto" w:fill="347186"/>
          </w:tcPr>
          <w:p w14:paraId="3459130D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583C9D7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2871732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0D4F102A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6E64D198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2CC9A968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4F74D7E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508C23BE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2B4413E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6DBC63A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6F46E1B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63B82E2C" w14:textId="77777777" w:rsidTr="0024296E">
        <w:tc>
          <w:tcPr>
            <w:tcW w:w="714" w:type="pct"/>
            <w:vMerge/>
            <w:shd w:val="clear" w:color="auto" w:fill="347186"/>
          </w:tcPr>
          <w:p w14:paraId="2D2BE284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079DB1D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47BBDD9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D31DAC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4CA3D399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3F9685A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225216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57E7A8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102F634A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500C40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96E337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59B7AFF0" w14:textId="77777777" w:rsidTr="0024296E">
        <w:tc>
          <w:tcPr>
            <w:tcW w:w="714" w:type="pct"/>
            <w:vMerge/>
            <w:shd w:val="clear" w:color="auto" w:fill="347186"/>
          </w:tcPr>
          <w:p w14:paraId="2BD029B3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6BDC781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03F7EFD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5D4323C9" w14:textId="14920B0B" w:rsidR="0024296E" w:rsidRDefault="0024296E">
      <w:pPr>
        <w:spacing w:before="0" w:after="200"/>
        <w:jc w:val="left"/>
        <w:rPr>
          <w:rFonts w:cs="Arial"/>
        </w:rPr>
      </w:pPr>
    </w:p>
    <w:sectPr w:rsidR="0024296E" w:rsidSect="00610721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7997" w14:textId="77777777" w:rsidR="00AE7E7B" w:rsidRDefault="00AE7E7B" w:rsidP="00920131">
      <w:r>
        <w:separator/>
      </w:r>
    </w:p>
  </w:endnote>
  <w:endnote w:type="continuationSeparator" w:id="0">
    <w:p w14:paraId="2CE1D77D" w14:textId="77777777" w:rsidR="00AE7E7B" w:rsidRDefault="00AE7E7B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E23" w14:textId="77777777" w:rsidR="00AE7E7B" w:rsidRDefault="00AE7E7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024E9E6F">
              <wp:simplePos x="0" y="0"/>
              <wp:positionH relativeFrom="column">
                <wp:posOffset>-228600</wp:posOffset>
              </wp:positionH>
              <wp:positionV relativeFrom="paragraph">
                <wp:posOffset>186055</wp:posOffset>
              </wp:positionV>
              <wp:extent cx="2209800" cy="3810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24F302F5" w:rsidR="00AE7E7B" w:rsidRPr="0093665E" w:rsidRDefault="00AE7E7B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10</w:t>
                          </w:r>
                          <w:r w:rsidRPr="00EC58C3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September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pt;margin-top:14.65pt;width:17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" filled="f" stroked="f">
              <v:textbox>
                <w:txbxContent>
                  <w:p w14:paraId="12E1DCD5" w14:textId="24F302F5" w:rsidR="00AE7E7B" w:rsidRPr="0093665E" w:rsidRDefault="00AE7E7B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10</w:t>
                    </w:r>
                    <w:r w:rsidRPr="00EC58C3">
                      <w:rPr>
                        <w:rFonts w:cs="Times"/>
                        <w:color w:val="000000" w:themeColor="text1"/>
                        <w:sz w:val="20"/>
                        <w:szCs w:val="22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September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154502E9" w:rsidR="00AE7E7B" w:rsidRDefault="00AE7E7B" w:rsidP="003B3727">
    <w:pPr>
      <w:pStyle w:val="Footer"/>
      <w:tabs>
        <w:tab w:val="clear" w:pos="4513"/>
        <w:tab w:val="clear" w:pos="9026"/>
        <w:tab w:val="left" w:pos="1635"/>
        <w:tab w:val="left" w:pos="403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1ACED991">
              <wp:simplePos x="0" y="0"/>
              <wp:positionH relativeFrom="column">
                <wp:posOffset>-228600</wp:posOffset>
              </wp:positionH>
              <wp:positionV relativeFrom="paragraph">
                <wp:posOffset>67310</wp:posOffset>
              </wp:positionV>
              <wp:extent cx="2209800" cy="43815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482F3012" w:rsidR="00AE7E7B" w:rsidRPr="0093665E" w:rsidRDefault="00AE7E7B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12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18pt;margin-top:5.3pt;width:17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" filled="f" stroked="f">
              <v:textbox>
                <w:txbxContent>
                  <w:p w14:paraId="6FE5AD02" w14:textId="482F3012" w:rsidR="00AE7E7B" w:rsidRPr="0093665E" w:rsidRDefault="00AE7E7B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12 July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A333" w14:textId="77777777" w:rsidR="00AE7E7B" w:rsidRDefault="00AE7E7B" w:rsidP="00920131">
      <w:r>
        <w:separator/>
      </w:r>
    </w:p>
  </w:footnote>
  <w:footnote w:type="continuationSeparator" w:id="0">
    <w:p w14:paraId="0DC739D7" w14:textId="77777777" w:rsidR="00AE7E7B" w:rsidRDefault="00AE7E7B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278501FA" w:rsidR="00AE7E7B" w:rsidRDefault="00AE7E7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AE7E7B" w:rsidRPr="0066486A" w:rsidRDefault="00AE7E7B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2" w:name="_Hlk512849464"/>
                          <w:bookmarkStart w:id="3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AE7E7B" w:rsidRPr="0066486A" w:rsidRDefault="00AE7E7B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4" w:name="_Hlk512849464"/>
                    <w:bookmarkStart w:id="5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4"/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32ECC4D" wp14:editId="34A98B31">
          <wp:simplePos x="0" y="0"/>
          <wp:positionH relativeFrom="column">
            <wp:posOffset>3333750</wp:posOffset>
          </wp:positionH>
          <wp:positionV relativeFrom="paragraph">
            <wp:posOffset>-237490</wp:posOffset>
          </wp:positionV>
          <wp:extent cx="3161030" cy="626745"/>
          <wp:effectExtent l="0" t="0" r="1270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choolBus Logo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03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2533F3" wp14:editId="3546C2C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4120" cy="1348740"/>
          <wp:effectExtent l="0" t="0" r="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 llight blu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4737" w14:textId="2ADFB07A" w:rsidR="00AE7E7B" w:rsidRDefault="00AE7E7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6E9DB2D" wp14:editId="448A3127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2909A" w14:textId="77777777" w:rsidR="00AE7E7B" w:rsidRPr="0066486A" w:rsidRDefault="00AE7E7B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E9DB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68pt;margin-top:-30.95pt;width:51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" stroked="f">
              <v:textbox style="mso-fit-shape-to-text:t">
                <w:txbxContent>
                  <w:p w14:paraId="2122909A" w14:textId="77777777" w:rsidR="00AE7E7B" w:rsidRPr="0066486A" w:rsidRDefault="00AE7E7B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866"/>
    <w:multiLevelType w:val="hybridMultilevel"/>
    <w:tmpl w:val="F35CD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773D"/>
    <w:multiLevelType w:val="hybridMultilevel"/>
    <w:tmpl w:val="5096F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12D3"/>
    <w:multiLevelType w:val="hybridMultilevel"/>
    <w:tmpl w:val="E1AAF058"/>
    <w:lvl w:ilvl="0" w:tplc="0342450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D30AC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0CA2"/>
    <w:multiLevelType w:val="hybridMultilevel"/>
    <w:tmpl w:val="4DB22D7A"/>
    <w:lvl w:ilvl="0" w:tplc="26364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8B0"/>
    <w:multiLevelType w:val="hybridMultilevel"/>
    <w:tmpl w:val="245A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D311F6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A63EB"/>
    <w:multiLevelType w:val="hybridMultilevel"/>
    <w:tmpl w:val="9B465496"/>
    <w:lvl w:ilvl="0" w:tplc="45D2E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927EF0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0C3B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B15AD"/>
    <w:multiLevelType w:val="hybridMultilevel"/>
    <w:tmpl w:val="760C2338"/>
    <w:lvl w:ilvl="0" w:tplc="9CB44808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6BB1457B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93A74"/>
    <w:multiLevelType w:val="hybridMultilevel"/>
    <w:tmpl w:val="1A188F26"/>
    <w:lvl w:ilvl="0" w:tplc="AB7E939E">
      <w:start w:val="1"/>
      <w:numFmt w:val="bullet"/>
      <w:pStyle w:val="Polic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3622"/>
    <w:multiLevelType w:val="hybridMultilevel"/>
    <w:tmpl w:val="0C5A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349E2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B113A"/>
    <w:multiLevelType w:val="hybridMultilevel"/>
    <w:tmpl w:val="FF6ECB8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22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17"/>
  </w:num>
  <w:num w:numId="17">
    <w:abstractNumId w:val="20"/>
  </w:num>
  <w:num w:numId="18">
    <w:abstractNumId w:val="8"/>
  </w:num>
  <w:num w:numId="19">
    <w:abstractNumId w:val="3"/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</w:num>
  <w:num w:numId="23">
    <w:abstractNumId w:val="5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21B95"/>
    <w:rsid w:val="000B5190"/>
    <w:rsid w:val="000C238B"/>
    <w:rsid w:val="000C44DE"/>
    <w:rsid w:val="000E4578"/>
    <w:rsid w:val="000F446F"/>
    <w:rsid w:val="000F6BB4"/>
    <w:rsid w:val="001416AB"/>
    <w:rsid w:val="00192460"/>
    <w:rsid w:val="001A55DD"/>
    <w:rsid w:val="00202913"/>
    <w:rsid w:val="00210F56"/>
    <w:rsid w:val="00230269"/>
    <w:rsid w:val="00234D99"/>
    <w:rsid w:val="00235761"/>
    <w:rsid w:val="0024296E"/>
    <w:rsid w:val="00252E7E"/>
    <w:rsid w:val="00271531"/>
    <w:rsid w:val="00283528"/>
    <w:rsid w:val="002843B0"/>
    <w:rsid w:val="0029689F"/>
    <w:rsid w:val="002A64DB"/>
    <w:rsid w:val="002C0DB0"/>
    <w:rsid w:val="002C594C"/>
    <w:rsid w:val="002E2D2C"/>
    <w:rsid w:val="00300A8E"/>
    <w:rsid w:val="00301444"/>
    <w:rsid w:val="00357EDF"/>
    <w:rsid w:val="00372976"/>
    <w:rsid w:val="003B3727"/>
    <w:rsid w:val="003C24D7"/>
    <w:rsid w:val="003D5240"/>
    <w:rsid w:val="00401009"/>
    <w:rsid w:val="00406611"/>
    <w:rsid w:val="00417D51"/>
    <w:rsid w:val="0043707A"/>
    <w:rsid w:val="00454F11"/>
    <w:rsid w:val="00476EC5"/>
    <w:rsid w:val="004B14AD"/>
    <w:rsid w:val="004E5B92"/>
    <w:rsid w:val="005002BE"/>
    <w:rsid w:val="005058A1"/>
    <w:rsid w:val="00511636"/>
    <w:rsid w:val="00524BC9"/>
    <w:rsid w:val="00542852"/>
    <w:rsid w:val="00546C67"/>
    <w:rsid w:val="00587DA0"/>
    <w:rsid w:val="005B3034"/>
    <w:rsid w:val="005B4028"/>
    <w:rsid w:val="005E585A"/>
    <w:rsid w:val="00610721"/>
    <w:rsid w:val="0063244F"/>
    <w:rsid w:val="00650CE0"/>
    <w:rsid w:val="0065737D"/>
    <w:rsid w:val="0066486A"/>
    <w:rsid w:val="006701F9"/>
    <w:rsid w:val="006D43BE"/>
    <w:rsid w:val="006E369F"/>
    <w:rsid w:val="006E7A9A"/>
    <w:rsid w:val="00702AE7"/>
    <w:rsid w:val="007110F5"/>
    <w:rsid w:val="007142AB"/>
    <w:rsid w:val="00727536"/>
    <w:rsid w:val="00731D00"/>
    <w:rsid w:val="00742198"/>
    <w:rsid w:val="00744D41"/>
    <w:rsid w:val="00750F14"/>
    <w:rsid w:val="007D49D0"/>
    <w:rsid w:val="007D5728"/>
    <w:rsid w:val="007D638F"/>
    <w:rsid w:val="007F72BC"/>
    <w:rsid w:val="00801F94"/>
    <w:rsid w:val="00804E7F"/>
    <w:rsid w:val="00817C47"/>
    <w:rsid w:val="008401FA"/>
    <w:rsid w:val="00877D29"/>
    <w:rsid w:val="008A6693"/>
    <w:rsid w:val="008E4DEF"/>
    <w:rsid w:val="008E77CB"/>
    <w:rsid w:val="009114AF"/>
    <w:rsid w:val="00920131"/>
    <w:rsid w:val="00923B57"/>
    <w:rsid w:val="0094574F"/>
    <w:rsid w:val="00956EBC"/>
    <w:rsid w:val="0095744D"/>
    <w:rsid w:val="009820B6"/>
    <w:rsid w:val="009820DE"/>
    <w:rsid w:val="00985DA4"/>
    <w:rsid w:val="00991031"/>
    <w:rsid w:val="00996733"/>
    <w:rsid w:val="009A1568"/>
    <w:rsid w:val="009C6F1E"/>
    <w:rsid w:val="009E6D12"/>
    <w:rsid w:val="009F68AC"/>
    <w:rsid w:val="00A13BE2"/>
    <w:rsid w:val="00A13D8C"/>
    <w:rsid w:val="00A37F52"/>
    <w:rsid w:val="00A40C55"/>
    <w:rsid w:val="00A66D6C"/>
    <w:rsid w:val="00A66FBD"/>
    <w:rsid w:val="00AB19F6"/>
    <w:rsid w:val="00AB7551"/>
    <w:rsid w:val="00AD7919"/>
    <w:rsid w:val="00AE0C20"/>
    <w:rsid w:val="00AE2443"/>
    <w:rsid w:val="00AE7E7B"/>
    <w:rsid w:val="00B230A0"/>
    <w:rsid w:val="00B54383"/>
    <w:rsid w:val="00B639B5"/>
    <w:rsid w:val="00B71CB5"/>
    <w:rsid w:val="00BA6191"/>
    <w:rsid w:val="00BB3648"/>
    <w:rsid w:val="00BD30B5"/>
    <w:rsid w:val="00BD67A8"/>
    <w:rsid w:val="00BE2F71"/>
    <w:rsid w:val="00BE3E5A"/>
    <w:rsid w:val="00BE5001"/>
    <w:rsid w:val="00BE73D1"/>
    <w:rsid w:val="00C00D43"/>
    <w:rsid w:val="00C259B7"/>
    <w:rsid w:val="00C30FB9"/>
    <w:rsid w:val="00CC1ABA"/>
    <w:rsid w:val="00CC5C09"/>
    <w:rsid w:val="00CF43D5"/>
    <w:rsid w:val="00D561E2"/>
    <w:rsid w:val="00D802FC"/>
    <w:rsid w:val="00D90D0A"/>
    <w:rsid w:val="00DA3B4F"/>
    <w:rsid w:val="00DB38D9"/>
    <w:rsid w:val="00DB6997"/>
    <w:rsid w:val="00E62981"/>
    <w:rsid w:val="00E70557"/>
    <w:rsid w:val="00E71035"/>
    <w:rsid w:val="00EA2CDD"/>
    <w:rsid w:val="00EA3077"/>
    <w:rsid w:val="00EB158F"/>
    <w:rsid w:val="00EC3F86"/>
    <w:rsid w:val="00EC58C3"/>
    <w:rsid w:val="00EE29E9"/>
    <w:rsid w:val="00EF76A3"/>
    <w:rsid w:val="00F4597E"/>
    <w:rsid w:val="00F5441B"/>
    <w:rsid w:val="00F56F5D"/>
    <w:rsid w:val="00F70AFC"/>
    <w:rsid w:val="00F80145"/>
    <w:rsid w:val="00F91D5A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947FEDD"/>
  <w15:docId w15:val="{B79D98FC-CA61-4402-95E4-05D5C51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F5"/>
    <w:pPr>
      <w:spacing w:before="120" w:after="120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aliases w:val="TSB Headings"/>
    <w:basedOn w:val="TSB-PolicyBullets"/>
    <w:next w:val="Normal"/>
    <w:link w:val="Heading1Char"/>
    <w:uiPriority w:val="9"/>
    <w:qFormat/>
    <w:rsid w:val="002E2D2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link w:val="ListParagraphChar"/>
    <w:uiPriority w:val="34"/>
    <w:qFormat/>
    <w:rsid w:val="005E585A"/>
    <w:pPr>
      <w:spacing w:after="200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E2D2C"/>
    <w:rPr>
      <w:rFonts w:ascii="Arial" w:hAnsi="Arial" w:cs="Arial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after="0" w:line="240" w:lineRule="auto"/>
      <w:ind w:left="357" w:hanging="357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  <w:ind w:left="357" w:hanging="357"/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0">
    <w:name w:val="Heading1"/>
    <w:basedOn w:val="Normal"/>
    <w:next w:val="Normal"/>
    <w:qFormat/>
    <w:rsid w:val="005002BE"/>
    <w:pPr>
      <w:spacing w:line="320" w:lineRule="exact"/>
    </w:pPr>
    <w:rPr>
      <w:rFonts w:eastAsiaTheme="minorHAnsi" w:cs="Arial"/>
      <w:b/>
      <w:color w:val="000000" w:themeColor="text1"/>
      <w:sz w:val="28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283528"/>
    <w:pPr>
      <w:numPr>
        <w:numId w:val="10"/>
      </w:numPr>
    </w:pPr>
    <w:rPr>
      <w:rFonts w:ascii="Arial" w:hAnsi="Arial" w:cs="Arial"/>
      <w:color w:val="000000" w:themeColor="text1"/>
    </w:rPr>
  </w:style>
  <w:style w:type="character" w:customStyle="1" w:styleId="PolicyBulletsChar">
    <w:name w:val="Policy Bullets Char"/>
    <w:basedOn w:val="DefaultParagraphFont"/>
    <w:link w:val="PolicyBullets"/>
    <w:rsid w:val="00283528"/>
    <w:rPr>
      <w:rFonts w:ascii="Arial" w:hAnsi="Arial" w:cs="Arial"/>
      <w:color w:val="000000" w:themeColor="text1"/>
    </w:rPr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b/>
      <w:bCs/>
      <w:sz w:val="28"/>
      <w:szCs w:val="32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7D49D0"/>
    <w:pPr>
      <w:tabs>
        <w:tab w:val="left" w:pos="3686"/>
      </w:tabs>
      <w:spacing w:before="240" w:after="240"/>
      <w:ind w:left="0"/>
      <w:contextualSpacing w:val="0"/>
      <w:jc w:val="left"/>
    </w:pPr>
    <w:rPr>
      <w:rFonts w:ascii="Arial" w:hAnsi="Arial" w:cs="Arial"/>
      <w:b/>
      <w:bCs/>
      <w:sz w:val="28"/>
      <w:szCs w:val="28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7D49D0"/>
    <w:rPr>
      <w:rFonts w:ascii="Arial" w:hAnsi="Arial" w:cs="Arial"/>
      <w:b/>
      <w:bCs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D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D1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0F5"/>
    <w:rPr>
      <w:color w:val="7030A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2E7E"/>
  </w:style>
  <w:style w:type="paragraph" w:customStyle="1" w:styleId="TSB-Level1Numbers">
    <w:name w:val="TSB - Level 1 Numbers"/>
    <w:basedOn w:val="Heading1"/>
    <w:link w:val="TSB-Level1NumbersChar"/>
    <w:qFormat/>
    <w:rsid w:val="00234D99"/>
    <w:pPr>
      <w:tabs>
        <w:tab w:val="clear" w:pos="3686"/>
      </w:tabs>
      <w:spacing w:after="200"/>
      <w:ind w:left="1673" w:hanging="482"/>
      <w:jc w:val="both"/>
    </w:pPr>
    <w:rPr>
      <w:rFonts w:asciiTheme="majorHAnsi" w:hAnsiTheme="majorHAnsi" w:cstheme="minorHAnsi"/>
      <w:b w:val="0"/>
      <w:bCs w:val="0"/>
      <w:sz w:val="22"/>
      <w:lang w:eastAsia="en-US"/>
    </w:rPr>
  </w:style>
  <w:style w:type="paragraph" w:customStyle="1" w:styleId="TSB-Level2Numbers">
    <w:name w:val="TSB - Level 2 Numbers"/>
    <w:basedOn w:val="TSB-Level1Numbers"/>
    <w:autoRedefine/>
    <w:qFormat/>
    <w:rsid w:val="00234D99"/>
    <w:pPr>
      <w:ind w:left="2223" w:hanging="998"/>
    </w:pPr>
  </w:style>
  <w:style w:type="character" w:customStyle="1" w:styleId="TSB-Level1NumbersChar">
    <w:name w:val="TSB - Level 1 Numbers Char"/>
    <w:basedOn w:val="DefaultParagraphFont"/>
    <w:link w:val="TSB-Level1Numbers"/>
    <w:rsid w:val="00234D99"/>
    <w:rPr>
      <w:rFonts w:asciiTheme="majorHAnsi" w:hAnsiTheme="majorHAnsi" w:cstheme="minorHAns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JONATHAN GRANT</cp:lastModifiedBy>
  <cp:revision>2</cp:revision>
  <cp:lastPrinted>2019-11-13T10:08:00Z</cp:lastPrinted>
  <dcterms:created xsi:type="dcterms:W3CDTF">2019-11-15T09:55:00Z</dcterms:created>
  <dcterms:modified xsi:type="dcterms:W3CDTF">2019-11-15T09:55:00Z</dcterms:modified>
</cp:coreProperties>
</file>